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80" w:rsidRPr="00150F80" w:rsidRDefault="00150F80" w:rsidP="00150F80">
      <w:pPr>
        <w:jc w:val="center"/>
        <w:rPr>
          <w:b/>
          <w:sz w:val="28"/>
          <w:szCs w:val="28"/>
        </w:rPr>
      </w:pPr>
      <w:r w:rsidRPr="00150F80">
        <w:rPr>
          <w:b/>
          <w:sz w:val="28"/>
          <w:szCs w:val="28"/>
        </w:rPr>
        <w:t>Alternative Financing Program and Access to Telework Fund</w:t>
      </w:r>
    </w:p>
    <w:p w:rsidR="00150F80" w:rsidRPr="00150F80" w:rsidRDefault="00150F80" w:rsidP="00150F80">
      <w:pPr>
        <w:jc w:val="center"/>
        <w:rPr>
          <w:b/>
          <w:sz w:val="28"/>
          <w:szCs w:val="28"/>
        </w:rPr>
      </w:pPr>
      <w:r w:rsidRPr="00150F80">
        <w:rPr>
          <w:b/>
          <w:sz w:val="28"/>
          <w:szCs w:val="28"/>
        </w:rPr>
        <w:t>Plan for Sustainability</w:t>
      </w:r>
    </w:p>
    <w:p w:rsidR="00150F80" w:rsidRPr="00150F80" w:rsidRDefault="00150F80" w:rsidP="00150F80">
      <w:pPr>
        <w:jc w:val="center"/>
        <w:rPr>
          <w:b/>
          <w:sz w:val="28"/>
          <w:szCs w:val="28"/>
        </w:rPr>
      </w:pPr>
      <w:r w:rsidRPr="00150F80">
        <w:rPr>
          <w:b/>
          <w:sz w:val="28"/>
          <w:szCs w:val="28"/>
        </w:rPr>
        <w:t>Oklahoma Assistive Technology Foundation</w:t>
      </w:r>
    </w:p>
    <w:p w:rsidR="00150F80" w:rsidRDefault="00150F80">
      <w:bookmarkStart w:id="0" w:name="_GoBack"/>
      <w:bookmarkEnd w:id="0"/>
    </w:p>
    <w:p w:rsidR="00150F80" w:rsidRDefault="00150F80"/>
    <w:p w:rsidR="00150F80" w:rsidRDefault="00EF2426" w:rsidP="00EF2426">
      <w:r>
        <w:t xml:space="preserve">Oklahoma Assistive Technology Foundation (OkAT) has provided Oklahoma ABLE Tech an assurance that </w:t>
      </w:r>
      <w:r w:rsidRPr="00EF2426">
        <w:t xml:space="preserve">the </w:t>
      </w:r>
      <w:r>
        <w:t xml:space="preserve">Alternative Financing Program and the Access to Telework Fund (AFP/ATF) </w:t>
      </w:r>
      <w:r w:rsidRPr="00EF2426">
        <w:t>programs will continue permanen</w:t>
      </w:r>
      <w:r>
        <w:t>tly.  Therefore, OkAT has established the Plan for Sustainability to ensure the day-to-day operations will maintain a fiscally responsible methodology to ensure AFP/ATF low interest bank loan funds are available for Oklahomans with disabilities to access.</w:t>
      </w:r>
    </w:p>
    <w:p w:rsidR="00EF2426" w:rsidRDefault="00EF2426" w:rsidP="00EF2426"/>
    <w:p w:rsidR="00EF2426" w:rsidRDefault="00AF0FD0" w:rsidP="009532F3">
      <w:pPr>
        <w:pStyle w:val="Heading2"/>
      </w:pPr>
      <w:r>
        <w:t>Separate Account Investments</w:t>
      </w:r>
    </w:p>
    <w:p w:rsidR="004031AA" w:rsidRDefault="00CE3F11" w:rsidP="009532F3">
      <w:pPr>
        <w:pStyle w:val="ListParagraph"/>
        <w:numPr>
          <w:ilvl w:val="1"/>
          <w:numId w:val="2"/>
        </w:numPr>
      </w:pPr>
      <w:r>
        <w:t>OkAT maintains one</w:t>
      </w:r>
      <w:r w:rsidR="00CA6EB1">
        <w:t xml:space="preserve"> operating account for daily expenses, </w:t>
      </w:r>
      <w:r w:rsidR="00B93CA8">
        <w:t xml:space="preserve">and </w:t>
      </w:r>
      <w:r w:rsidR="00CA6EB1">
        <w:t>one interest bearing money market account</w:t>
      </w:r>
      <w:r w:rsidR="004031AA">
        <w:t xml:space="preserve">.  </w:t>
      </w:r>
      <w:r>
        <w:t>Of those account</w:t>
      </w:r>
      <w:r w:rsidR="004031AA">
        <w:t>s</w:t>
      </w:r>
      <w:r>
        <w:t xml:space="preserve"> the </w:t>
      </w:r>
      <w:r w:rsidR="004031AA">
        <w:t>money market</w:t>
      </w:r>
      <w:r>
        <w:t xml:space="preserve"> functions to pay for </w:t>
      </w:r>
      <w:r w:rsidR="00B3521C">
        <w:t>AFP</w:t>
      </w:r>
      <w:r>
        <w:t>/ATF</w:t>
      </w:r>
      <w:r w:rsidR="00B3521C">
        <w:t xml:space="preserve"> </w:t>
      </w:r>
      <w:r w:rsidR="00EE1206">
        <w:t xml:space="preserve">buy-down invoices, rescue payments of guaranty loans, and to pay off balances of guaranty loans in defaults.  </w:t>
      </w:r>
      <w:r w:rsidR="00EE1206" w:rsidRPr="00090190">
        <w:t xml:space="preserve">The funds for this account will be withdrawn from </w:t>
      </w:r>
      <w:r w:rsidR="00090190">
        <w:t xml:space="preserve">a CD that has the lowest interest rate.  </w:t>
      </w:r>
      <w:r w:rsidR="00AF0FD0">
        <w:t xml:space="preserve">When expenses occur for ATF, once investment funds from the ATF separate account are available without penalty, ATF will reimburse the </w:t>
      </w:r>
      <w:r w:rsidR="0068693D">
        <w:t>money market</w:t>
      </w:r>
      <w:r>
        <w:t xml:space="preserve"> </w:t>
      </w:r>
      <w:r w:rsidR="00AF0FD0">
        <w:t xml:space="preserve">account </w:t>
      </w:r>
      <w:r>
        <w:t xml:space="preserve">as necessary </w:t>
      </w:r>
      <w:r w:rsidR="00AF0FD0">
        <w:t>but at least</w:t>
      </w:r>
      <w:r>
        <w:t xml:space="preserve"> on an annual basis.  </w:t>
      </w:r>
    </w:p>
    <w:p w:rsidR="00EE1206" w:rsidRDefault="004031AA" w:rsidP="009532F3">
      <w:pPr>
        <w:pStyle w:val="ListParagraph"/>
        <w:numPr>
          <w:ilvl w:val="1"/>
          <w:numId w:val="2"/>
        </w:numPr>
      </w:pPr>
      <w:r>
        <w:t>OkAT maintains four separate Certificates of Deposits accounts for AFP and three separate accounts for ATF.  I</w:t>
      </w:r>
      <w:r w:rsidR="00AF0FD0">
        <w:t xml:space="preserve">nvested </w:t>
      </w:r>
      <w:r>
        <w:t>CD</w:t>
      </w:r>
      <w:r w:rsidR="00090190">
        <w:t xml:space="preserve">s </w:t>
      </w:r>
      <w:r>
        <w:t>have staggering</w:t>
      </w:r>
      <w:r w:rsidR="00AF0FD0">
        <w:t xml:space="preserve"> renewal dates </w:t>
      </w:r>
      <w:r>
        <w:t>for optimal return on investment.  P</w:t>
      </w:r>
      <w:r w:rsidR="00AF0FD0">
        <w:t>redictability of future interest rates</w:t>
      </w:r>
      <w:r>
        <w:t xml:space="preserve"> is based on the national economic forecast</w:t>
      </w:r>
      <w:r w:rsidR="0068693D">
        <w:t xml:space="preserve"> which drives the decision as to how the funds will be invested.  </w:t>
      </w:r>
      <w:r>
        <w:t xml:space="preserve">Therefore, in May of 2012, OkAT </w:t>
      </w:r>
      <w:r w:rsidR="00361511">
        <w:t xml:space="preserve">placed 93% of its available AFP funds and 84% of ATF funds into a 24 month CD to maximize interest earnings. </w:t>
      </w:r>
      <w:r w:rsidR="00CE3F11">
        <w:t xml:space="preserve"> </w:t>
      </w:r>
      <w:r w:rsidR="005967E2">
        <w:t>As a result</w:t>
      </w:r>
      <w:r w:rsidR="0068693D">
        <w:t>,</w:t>
      </w:r>
      <w:r w:rsidR="005967E2">
        <w:t xml:space="preserve"> projected interest income will rise to $12,464 compared to the FY12 interest income of $2,587.  </w:t>
      </w:r>
      <w:r w:rsidR="00361511">
        <w:t xml:space="preserve">Until the recent shift of CDs, OkAT held a pledge security against 100% of all deposits.  At this time OkAT maintains the FDIC insured </w:t>
      </w:r>
      <w:r w:rsidR="0068693D">
        <w:t xml:space="preserve">maximum </w:t>
      </w:r>
      <w:r w:rsidR="00361511">
        <w:t>amount, as all of the funds are deposited with BancFirst as part of the contract criteria.</w:t>
      </w:r>
    </w:p>
    <w:p w:rsidR="00AF0FD0" w:rsidRDefault="00AF0FD0" w:rsidP="009532F3">
      <w:pPr>
        <w:pStyle w:val="ListParagraph"/>
        <w:numPr>
          <w:ilvl w:val="1"/>
          <w:numId w:val="2"/>
        </w:numPr>
      </w:pPr>
      <w:r>
        <w:t>The Board will review the balance, interest rate and term</w:t>
      </w:r>
      <w:r w:rsidR="00A9078B">
        <w:t>s</w:t>
      </w:r>
      <w:r w:rsidR="00361511">
        <w:t xml:space="preserve"> of the separate accounts quarterly</w:t>
      </w:r>
      <w:r>
        <w:t xml:space="preserve">.  The Board may determine </w:t>
      </w:r>
      <w:r w:rsidR="00A9078B">
        <w:t xml:space="preserve">at anytime </w:t>
      </w:r>
      <w:r>
        <w:t xml:space="preserve">to research better investment possibilities to </w:t>
      </w:r>
      <w:r w:rsidR="00A9078B">
        <w:t>en</w:t>
      </w:r>
      <w:r w:rsidR="00361511">
        <w:t xml:space="preserve">sure the highest return.  </w:t>
      </w:r>
      <w:r w:rsidR="00A9078B">
        <w:t xml:space="preserve">Investment income will be </w:t>
      </w:r>
      <w:r w:rsidR="00F16D53">
        <w:t xml:space="preserve">evaluated as each CD becomes available for renewal.  </w:t>
      </w:r>
    </w:p>
    <w:p w:rsidR="009532F3" w:rsidRDefault="009532F3" w:rsidP="009532F3">
      <w:pPr>
        <w:ind w:left="360"/>
      </w:pPr>
    </w:p>
    <w:p w:rsidR="0070289C" w:rsidRDefault="00AF1F06" w:rsidP="009532F3">
      <w:pPr>
        <w:pStyle w:val="Heading2"/>
      </w:pPr>
      <w:r>
        <w:t xml:space="preserve">Strategies to Maintain Sustainability </w:t>
      </w:r>
    </w:p>
    <w:p w:rsidR="00F16D53" w:rsidRDefault="0070289C" w:rsidP="009532F3">
      <w:pPr>
        <w:pStyle w:val="ListParagraph"/>
        <w:numPr>
          <w:ilvl w:val="1"/>
          <w:numId w:val="8"/>
        </w:numPr>
      </w:pPr>
      <w:r>
        <w:t xml:space="preserve">The program utilizes a Board approved Loan Policy, that guides the decision making process </w:t>
      </w:r>
      <w:r w:rsidR="00B2700B">
        <w:t>to determine qualified borrowers</w:t>
      </w:r>
      <w:r>
        <w:t xml:space="preserve">.  The </w:t>
      </w:r>
      <w:r w:rsidR="00B2700B">
        <w:t>process</w:t>
      </w:r>
      <w:r>
        <w:t xml:space="preserve"> minimize</w:t>
      </w:r>
      <w:r w:rsidR="00F16D53">
        <w:t xml:space="preserve">s </w:t>
      </w:r>
      <w:r>
        <w:t xml:space="preserve">loan defaults.  </w:t>
      </w:r>
    </w:p>
    <w:p w:rsidR="0070289C" w:rsidRDefault="00F16D53" w:rsidP="009532F3">
      <w:pPr>
        <w:pStyle w:val="ListParagraph"/>
        <w:numPr>
          <w:ilvl w:val="1"/>
          <w:numId w:val="8"/>
        </w:numPr>
      </w:pPr>
      <w:r>
        <w:t>T</w:t>
      </w:r>
      <w:r w:rsidR="0070289C">
        <w:t>he Board has directed itself to limit 90% of available investment funds</w:t>
      </w:r>
      <w:r w:rsidR="00B90FB2">
        <w:t xml:space="preserve"> to guaranty loans</w:t>
      </w:r>
      <w:r w:rsidR="0070289C">
        <w:t xml:space="preserve">.  </w:t>
      </w:r>
      <w:r>
        <w:t>As of July 1, 2012, OkAT has obligated 18% of available funds for guaranty loans.</w:t>
      </w:r>
    </w:p>
    <w:p w:rsidR="0070289C" w:rsidRDefault="00181DD6" w:rsidP="009532F3">
      <w:pPr>
        <w:pStyle w:val="ListParagraph"/>
        <w:numPr>
          <w:ilvl w:val="1"/>
          <w:numId w:val="8"/>
        </w:numPr>
      </w:pPr>
      <w:r>
        <w:t>Policy also establishes a mechanism for client assistance with rescue payment</w:t>
      </w:r>
      <w:r w:rsidR="0068693D">
        <w:t>s to minimize loan default</w:t>
      </w:r>
      <w:r>
        <w:t xml:space="preserve">.  </w:t>
      </w:r>
    </w:p>
    <w:p w:rsidR="00F60322" w:rsidRDefault="00F60322" w:rsidP="009532F3">
      <w:pPr>
        <w:pStyle w:val="ListParagraph"/>
        <w:numPr>
          <w:ilvl w:val="1"/>
          <w:numId w:val="8"/>
        </w:numPr>
      </w:pPr>
      <w:r>
        <w:lastRenderedPageBreak/>
        <w:t>Ok</w:t>
      </w:r>
      <w:r w:rsidR="00B90FB2">
        <w:t xml:space="preserve">AT has established term limits </w:t>
      </w:r>
      <w:r w:rsidR="00B2700B">
        <w:t>for Board membership</w:t>
      </w:r>
      <w:r w:rsidR="00B90FB2">
        <w:t xml:space="preserve">.  </w:t>
      </w:r>
      <w:r w:rsidR="00B2700B">
        <w:t xml:space="preserve">Annually, new Board members provide </w:t>
      </w:r>
      <w:r w:rsidR="00B90FB2">
        <w:t>an opportunity to evaluate operational procedures, loan policies, and investment strategies to promote sustainability for the corporation.</w:t>
      </w:r>
    </w:p>
    <w:p w:rsidR="00181DD6" w:rsidRDefault="00181DD6" w:rsidP="009532F3">
      <w:pPr>
        <w:pStyle w:val="ListParagraph"/>
        <w:numPr>
          <w:ilvl w:val="1"/>
          <w:numId w:val="8"/>
        </w:numPr>
      </w:pPr>
      <w:r>
        <w:t xml:space="preserve">The </w:t>
      </w:r>
      <w:r w:rsidR="00B90FB2">
        <w:t xml:space="preserve">Board reviews </w:t>
      </w:r>
      <w:r>
        <w:t>quarterly</w:t>
      </w:r>
      <w:r w:rsidR="00AF1F06">
        <w:t>,</w:t>
      </w:r>
      <w:r>
        <w:t xml:space="preserve"> </w:t>
      </w:r>
      <w:r w:rsidR="00CA169C">
        <w:t xml:space="preserve">various data elements </w:t>
      </w:r>
      <w:r w:rsidR="00AF1F06">
        <w:t>to insure</w:t>
      </w:r>
      <w:r w:rsidR="00CA169C">
        <w:t xml:space="preserve"> funds remain available </w:t>
      </w:r>
      <w:r w:rsidR="00AF1F06">
        <w:t xml:space="preserve">on a permanent basis, </w:t>
      </w:r>
      <w:r w:rsidR="00CA169C">
        <w:t xml:space="preserve">to provide low interest bank loans for assistive technology and equipment for telework outcomes to Oklahomans with disabilities.  </w:t>
      </w:r>
      <w:r w:rsidR="00B90FB2">
        <w:t>D</w:t>
      </w:r>
      <w:r w:rsidR="00CA169C">
        <w:t xml:space="preserve">ata elements include the following:  </w:t>
      </w:r>
      <w:r>
        <w:t xml:space="preserve"> </w:t>
      </w:r>
    </w:p>
    <w:p w:rsidR="00EE1206" w:rsidRDefault="00EE1206" w:rsidP="00EF2426"/>
    <w:p w:rsidR="00731284" w:rsidRDefault="00731284" w:rsidP="00EF2426"/>
    <w:p w:rsidR="00731284" w:rsidRPr="00B422D5" w:rsidRDefault="00B422D5" w:rsidP="00B422D5">
      <w:pPr>
        <w:jc w:val="center"/>
        <w:rPr>
          <w:b/>
          <w:sz w:val="28"/>
          <w:szCs w:val="28"/>
        </w:rPr>
      </w:pPr>
      <w:r w:rsidRPr="00B422D5">
        <w:rPr>
          <w:b/>
          <w:sz w:val="28"/>
          <w:szCs w:val="28"/>
        </w:rPr>
        <w:t xml:space="preserve">Guaranty Loan Portfolio Performance </w:t>
      </w:r>
      <w:r w:rsidR="00482FCE">
        <w:rPr>
          <w:b/>
          <w:sz w:val="28"/>
          <w:szCs w:val="28"/>
        </w:rPr>
        <w:t>–</w:t>
      </w:r>
      <w:r w:rsidRPr="00B422D5">
        <w:rPr>
          <w:b/>
          <w:sz w:val="28"/>
          <w:szCs w:val="28"/>
        </w:rPr>
        <w:t xml:space="preserve"> AFP</w:t>
      </w:r>
      <w:r w:rsidR="00482FCE">
        <w:rPr>
          <w:b/>
          <w:sz w:val="28"/>
          <w:szCs w:val="28"/>
        </w:rPr>
        <w:t>*</w:t>
      </w:r>
    </w:p>
    <w:p w:rsidR="00731284" w:rsidRDefault="00731284" w:rsidP="00EF2426"/>
    <w:tbl>
      <w:tblPr>
        <w:tblStyle w:val="LightShading"/>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0"/>
        <w:gridCol w:w="1260"/>
        <w:gridCol w:w="1350"/>
        <w:gridCol w:w="1260"/>
      </w:tblGrid>
      <w:tr w:rsidR="004F5460" w:rsidTr="00AF1F06">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4F5460" w:rsidRPr="002B7FD9" w:rsidRDefault="004F5460" w:rsidP="00B422D5">
            <w:pPr>
              <w:rPr>
                <w:b w:val="0"/>
              </w:rPr>
            </w:pPr>
          </w:p>
        </w:tc>
        <w:tc>
          <w:tcPr>
            <w:tcW w:w="1170" w:type="dxa"/>
            <w:tcBorders>
              <w:top w:val="none" w:sz="0" w:space="0" w:color="auto"/>
              <w:left w:val="none" w:sz="0" w:space="0" w:color="auto"/>
              <w:bottom w:val="none" w:sz="0" w:space="0" w:color="auto"/>
              <w:right w:val="none" w:sz="0" w:space="0" w:color="auto"/>
            </w:tcBorders>
          </w:tcPr>
          <w:p w:rsidR="004F5460" w:rsidRPr="004F5460" w:rsidRDefault="004F5460" w:rsidP="00AF1F06">
            <w:pPr>
              <w:jc w:val="center"/>
              <w:cnfStyle w:val="100000000000" w:firstRow="1" w:lastRow="0" w:firstColumn="0" w:lastColumn="0" w:oddVBand="0" w:evenVBand="0" w:oddHBand="0" w:evenHBand="0" w:firstRowFirstColumn="0" w:firstRowLastColumn="0" w:lastRowFirstColumn="0" w:lastRowLastColumn="0"/>
            </w:pPr>
            <w:r w:rsidRPr="00AF1F06">
              <w:rPr>
                <w:highlight w:val="yellow"/>
              </w:rPr>
              <w:t>2012</w:t>
            </w:r>
          </w:p>
        </w:tc>
        <w:tc>
          <w:tcPr>
            <w:tcW w:w="1260" w:type="dxa"/>
            <w:tcBorders>
              <w:top w:val="none" w:sz="0" w:space="0" w:color="auto"/>
              <w:left w:val="none" w:sz="0" w:space="0" w:color="auto"/>
              <w:bottom w:val="none" w:sz="0" w:space="0" w:color="auto"/>
              <w:right w:val="none" w:sz="0" w:space="0" w:color="auto"/>
            </w:tcBorders>
          </w:tcPr>
          <w:p w:rsidR="004F5460" w:rsidRPr="004F5460" w:rsidRDefault="004F5460" w:rsidP="001B71A7">
            <w:pPr>
              <w:jc w:val="center"/>
              <w:cnfStyle w:val="100000000000" w:firstRow="1" w:lastRow="0" w:firstColumn="0" w:lastColumn="0" w:oddVBand="0" w:evenVBand="0" w:oddHBand="0" w:evenHBand="0" w:firstRowFirstColumn="0" w:firstRowLastColumn="0" w:lastRowFirstColumn="0" w:lastRowLastColumn="0"/>
            </w:pPr>
            <w:r w:rsidRPr="004F5460">
              <w:t>2011</w:t>
            </w:r>
          </w:p>
        </w:tc>
        <w:tc>
          <w:tcPr>
            <w:tcW w:w="1350" w:type="dxa"/>
            <w:tcBorders>
              <w:top w:val="none" w:sz="0" w:space="0" w:color="auto"/>
              <w:left w:val="none" w:sz="0" w:space="0" w:color="auto"/>
              <w:bottom w:val="none" w:sz="0" w:space="0" w:color="auto"/>
              <w:right w:val="none" w:sz="0" w:space="0" w:color="auto"/>
            </w:tcBorders>
          </w:tcPr>
          <w:p w:rsidR="004F5460" w:rsidRPr="004F5460" w:rsidRDefault="004F5460" w:rsidP="001B71A7">
            <w:pPr>
              <w:jc w:val="center"/>
              <w:cnfStyle w:val="100000000000" w:firstRow="1" w:lastRow="0" w:firstColumn="0" w:lastColumn="0" w:oddVBand="0" w:evenVBand="0" w:oddHBand="0" w:evenHBand="0" w:firstRowFirstColumn="0" w:firstRowLastColumn="0" w:lastRowFirstColumn="0" w:lastRowLastColumn="0"/>
            </w:pPr>
            <w:r w:rsidRPr="004F5460">
              <w:t>2010</w:t>
            </w:r>
          </w:p>
        </w:tc>
        <w:tc>
          <w:tcPr>
            <w:tcW w:w="1260" w:type="dxa"/>
            <w:tcBorders>
              <w:top w:val="none" w:sz="0" w:space="0" w:color="auto"/>
              <w:left w:val="none" w:sz="0" w:space="0" w:color="auto"/>
              <w:bottom w:val="none" w:sz="0" w:space="0" w:color="auto"/>
              <w:right w:val="none" w:sz="0" w:space="0" w:color="auto"/>
            </w:tcBorders>
          </w:tcPr>
          <w:p w:rsidR="004F5460" w:rsidRPr="004F5460" w:rsidRDefault="004F5460" w:rsidP="001B71A7">
            <w:pPr>
              <w:jc w:val="center"/>
              <w:cnfStyle w:val="100000000000" w:firstRow="1" w:lastRow="0" w:firstColumn="0" w:lastColumn="0" w:oddVBand="0" w:evenVBand="0" w:oddHBand="0" w:evenHBand="0" w:firstRowFirstColumn="0" w:firstRowLastColumn="0" w:lastRowFirstColumn="0" w:lastRowLastColumn="0"/>
            </w:pPr>
            <w:r w:rsidRPr="004F5460">
              <w:t>2009</w:t>
            </w:r>
          </w:p>
        </w:tc>
      </w:tr>
      <w:tr w:rsidR="004F5460" w:rsidTr="00AF1F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tcPr>
          <w:p w:rsidR="004F5460" w:rsidRDefault="004F5460" w:rsidP="00AF1F06">
            <w:r>
              <w:t># of Loans</w:t>
            </w:r>
            <w:r w:rsidR="00AF1F06">
              <w:t xml:space="preserve"> Outstanding Balance </w:t>
            </w:r>
          </w:p>
        </w:tc>
        <w:tc>
          <w:tcPr>
            <w:tcW w:w="1170" w:type="dxa"/>
            <w:tcBorders>
              <w:left w:val="none" w:sz="0" w:space="0" w:color="auto"/>
              <w:right w:val="none" w:sz="0" w:space="0" w:color="auto"/>
            </w:tcBorders>
          </w:tcPr>
          <w:p w:rsidR="004F5460" w:rsidRDefault="000745C3" w:rsidP="00CC4B08">
            <w:pPr>
              <w:jc w:val="right"/>
              <w:cnfStyle w:val="000000100000" w:firstRow="0" w:lastRow="0" w:firstColumn="0" w:lastColumn="0" w:oddVBand="0" w:evenVBand="0" w:oddHBand="1" w:evenHBand="0" w:firstRowFirstColumn="0" w:firstRowLastColumn="0" w:lastRowFirstColumn="0" w:lastRowLastColumn="0"/>
            </w:pPr>
            <w:r>
              <w:t>51</w:t>
            </w:r>
          </w:p>
        </w:tc>
        <w:tc>
          <w:tcPr>
            <w:tcW w:w="1260" w:type="dxa"/>
            <w:tcBorders>
              <w:left w:val="none" w:sz="0" w:space="0" w:color="auto"/>
              <w:right w:val="none" w:sz="0" w:space="0" w:color="auto"/>
            </w:tcBorders>
          </w:tcPr>
          <w:p w:rsidR="004F5460" w:rsidRDefault="00090BC9" w:rsidP="00CC4B08">
            <w:pPr>
              <w:jc w:val="right"/>
              <w:cnfStyle w:val="000000100000" w:firstRow="0" w:lastRow="0" w:firstColumn="0" w:lastColumn="0" w:oddVBand="0" w:evenVBand="0" w:oddHBand="1" w:evenHBand="0" w:firstRowFirstColumn="0" w:firstRowLastColumn="0" w:lastRowFirstColumn="0" w:lastRowLastColumn="0"/>
            </w:pPr>
            <w:r>
              <w:t>50</w:t>
            </w:r>
          </w:p>
        </w:tc>
        <w:tc>
          <w:tcPr>
            <w:tcW w:w="1350" w:type="dxa"/>
            <w:tcBorders>
              <w:left w:val="none" w:sz="0" w:space="0" w:color="auto"/>
              <w:right w:val="none" w:sz="0" w:space="0" w:color="auto"/>
            </w:tcBorders>
          </w:tcPr>
          <w:p w:rsidR="004F5460" w:rsidRDefault="00090BC9" w:rsidP="00CC4B08">
            <w:pPr>
              <w:jc w:val="right"/>
              <w:cnfStyle w:val="000000100000" w:firstRow="0" w:lastRow="0" w:firstColumn="0" w:lastColumn="0" w:oddVBand="0" w:evenVBand="0" w:oddHBand="1" w:evenHBand="0" w:firstRowFirstColumn="0" w:firstRowLastColumn="0" w:lastRowFirstColumn="0" w:lastRowLastColumn="0"/>
            </w:pPr>
            <w:r>
              <w:t>50</w:t>
            </w:r>
          </w:p>
        </w:tc>
        <w:tc>
          <w:tcPr>
            <w:tcW w:w="1260" w:type="dxa"/>
            <w:tcBorders>
              <w:left w:val="none" w:sz="0" w:space="0" w:color="auto"/>
              <w:right w:val="none" w:sz="0" w:space="0" w:color="auto"/>
            </w:tcBorders>
          </w:tcPr>
          <w:p w:rsidR="004F5460" w:rsidRDefault="00090BC9" w:rsidP="00CC4B08">
            <w:pPr>
              <w:jc w:val="right"/>
              <w:cnfStyle w:val="000000100000" w:firstRow="0" w:lastRow="0" w:firstColumn="0" w:lastColumn="0" w:oddVBand="0" w:evenVBand="0" w:oddHBand="1" w:evenHBand="0" w:firstRowFirstColumn="0" w:firstRowLastColumn="0" w:lastRowFirstColumn="0" w:lastRowLastColumn="0"/>
            </w:pPr>
            <w:r>
              <w:t>60</w:t>
            </w:r>
          </w:p>
        </w:tc>
      </w:tr>
      <w:tr w:rsidR="004F5460" w:rsidTr="00AF1F06">
        <w:trPr>
          <w:trHeight w:val="276"/>
        </w:trPr>
        <w:tc>
          <w:tcPr>
            <w:cnfStyle w:val="001000000000" w:firstRow="0" w:lastRow="0" w:firstColumn="1" w:lastColumn="0" w:oddVBand="0" w:evenVBand="0" w:oddHBand="0" w:evenHBand="0" w:firstRowFirstColumn="0" w:firstRowLastColumn="0" w:lastRowFirstColumn="0" w:lastRowLastColumn="0"/>
            <w:tcW w:w="3510" w:type="dxa"/>
          </w:tcPr>
          <w:p w:rsidR="004F5460" w:rsidRPr="00B422D5" w:rsidRDefault="004F5460" w:rsidP="00CC4B08">
            <w:pPr>
              <w:rPr>
                <w:sz w:val="22"/>
                <w:szCs w:val="22"/>
              </w:rPr>
            </w:pPr>
            <w:r>
              <w:rPr>
                <w:sz w:val="22"/>
                <w:szCs w:val="22"/>
              </w:rPr>
              <w:t xml:space="preserve">$ </w:t>
            </w:r>
            <w:r w:rsidRPr="00B422D5">
              <w:rPr>
                <w:sz w:val="22"/>
                <w:szCs w:val="22"/>
              </w:rPr>
              <w:t>Loan Balance</w:t>
            </w:r>
          </w:p>
        </w:tc>
        <w:tc>
          <w:tcPr>
            <w:tcW w:w="1170" w:type="dxa"/>
          </w:tcPr>
          <w:p w:rsidR="004F5460" w:rsidRPr="004F5460" w:rsidRDefault="00AF1F06" w:rsidP="00CC4B08">
            <w:pPr>
              <w:jc w:val="right"/>
              <w:cnfStyle w:val="000000000000" w:firstRow="0" w:lastRow="0" w:firstColumn="0" w:lastColumn="0" w:oddVBand="0" w:evenVBand="0" w:oddHBand="0" w:evenHBand="0" w:firstRowFirstColumn="0" w:firstRowLastColumn="0" w:lastRowFirstColumn="0" w:lastRowLastColumn="0"/>
              <w:rPr>
                <w:highlight w:val="yellow"/>
              </w:rPr>
            </w:pPr>
            <w:r>
              <w:t>$</w:t>
            </w:r>
            <w:r w:rsidR="000745C3" w:rsidRPr="000745C3">
              <w:t>258,227</w:t>
            </w:r>
          </w:p>
        </w:tc>
        <w:tc>
          <w:tcPr>
            <w:tcW w:w="1260" w:type="dxa"/>
          </w:tcPr>
          <w:p w:rsidR="004F5460" w:rsidRPr="00090BC9" w:rsidRDefault="00090BC9" w:rsidP="00CC4B08">
            <w:pPr>
              <w:jc w:val="right"/>
              <w:cnfStyle w:val="000000000000" w:firstRow="0" w:lastRow="0" w:firstColumn="0" w:lastColumn="0" w:oddVBand="0" w:evenVBand="0" w:oddHBand="0" w:evenHBand="0" w:firstRowFirstColumn="0" w:firstRowLastColumn="0" w:lastRowFirstColumn="0" w:lastRowLastColumn="0"/>
            </w:pPr>
            <w:r w:rsidRPr="00090BC9">
              <w:t>$232,820</w:t>
            </w:r>
          </w:p>
        </w:tc>
        <w:tc>
          <w:tcPr>
            <w:tcW w:w="1350" w:type="dxa"/>
          </w:tcPr>
          <w:p w:rsidR="004F5460" w:rsidRPr="00090BC9" w:rsidRDefault="00090BC9" w:rsidP="004F5460">
            <w:pPr>
              <w:jc w:val="center"/>
              <w:cnfStyle w:val="000000000000" w:firstRow="0" w:lastRow="0" w:firstColumn="0" w:lastColumn="0" w:oddVBand="0" w:evenVBand="0" w:oddHBand="0" w:evenHBand="0" w:firstRowFirstColumn="0" w:firstRowLastColumn="0" w:lastRowFirstColumn="0" w:lastRowLastColumn="0"/>
            </w:pPr>
            <w:r w:rsidRPr="00090BC9">
              <w:t>$246,697</w:t>
            </w:r>
          </w:p>
        </w:tc>
        <w:tc>
          <w:tcPr>
            <w:tcW w:w="1260" w:type="dxa"/>
          </w:tcPr>
          <w:p w:rsidR="004F5460" w:rsidRPr="00090BC9" w:rsidRDefault="00090BC9" w:rsidP="00CC4B08">
            <w:pPr>
              <w:jc w:val="right"/>
              <w:cnfStyle w:val="000000000000" w:firstRow="0" w:lastRow="0" w:firstColumn="0" w:lastColumn="0" w:oddVBand="0" w:evenVBand="0" w:oddHBand="0" w:evenHBand="0" w:firstRowFirstColumn="0" w:firstRowLastColumn="0" w:lastRowFirstColumn="0" w:lastRowLastColumn="0"/>
            </w:pPr>
            <w:r w:rsidRPr="00090BC9">
              <w:t>$237,564</w:t>
            </w:r>
          </w:p>
        </w:tc>
      </w:tr>
      <w:tr w:rsidR="004F5460" w:rsidTr="00AF1F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tcPr>
          <w:p w:rsidR="004F5460" w:rsidRDefault="004F5460" w:rsidP="00CC4B08">
            <w:r>
              <w:t># of Defaults</w:t>
            </w:r>
          </w:p>
        </w:tc>
        <w:tc>
          <w:tcPr>
            <w:tcW w:w="1170" w:type="dxa"/>
            <w:tcBorders>
              <w:left w:val="none" w:sz="0" w:space="0" w:color="auto"/>
              <w:right w:val="none" w:sz="0" w:space="0" w:color="auto"/>
            </w:tcBorders>
          </w:tcPr>
          <w:p w:rsidR="004F5460" w:rsidRDefault="000745C3" w:rsidP="00CC4B08">
            <w:pPr>
              <w:jc w:val="right"/>
              <w:cnfStyle w:val="000000100000" w:firstRow="0" w:lastRow="0" w:firstColumn="0" w:lastColumn="0" w:oddVBand="0" w:evenVBand="0" w:oddHBand="1" w:evenHBand="0" w:firstRowFirstColumn="0" w:firstRowLastColumn="0" w:lastRowFirstColumn="0" w:lastRowLastColumn="0"/>
            </w:pPr>
            <w:r>
              <w:t>2</w:t>
            </w:r>
          </w:p>
        </w:tc>
        <w:tc>
          <w:tcPr>
            <w:tcW w:w="1260" w:type="dxa"/>
            <w:tcBorders>
              <w:left w:val="none" w:sz="0" w:space="0" w:color="auto"/>
              <w:right w:val="none" w:sz="0" w:space="0" w:color="auto"/>
            </w:tcBorders>
          </w:tcPr>
          <w:p w:rsidR="004F5460" w:rsidRDefault="00090BC9" w:rsidP="00CC4B08">
            <w:pPr>
              <w:jc w:val="right"/>
              <w:cnfStyle w:val="000000100000" w:firstRow="0" w:lastRow="0" w:firstColumn="0" w:lastColumn="0" w:oddVBand="0" w:evenVBand="0" w:oddHBand="1" w:evenHBand="0" w:firstRowFirstColumn="0" w:firstRowLastColumn="0" w:lastRowFirstColumn="0" w:lastRowLastColumn="0"/>
            </w:pPr>
            <w:r>
              <w:t>1</w:t>
            </w:r>
          </w:p>
        </w:tc>
        <w:tc>
          <w:tcPr>
            <w:tcW w:w="1350" w:type="dxa"/>
            <w:tcBorders>
              <w:left w:val="none" w:sz="0" w:space="0" w:color="auto"/>
              <w:right w:val="none" w:sz="0" w:space="0" w:color="auto"/>
            </w:tcBorders>
          </w:tcPr>
          <w:p w:rsidR="004F5460" w:rsidRDefault="00090BC9" w:rsidP="00CC4B08">
            <w:pPr>
              <w:jc w:val="right"/>
              <w:cnfStyle w:val="000000100000" w:firstRow="0" w:lastRow="0" w:firstColumn="0" w:lastColumn="0" w:oddVBand="0" w:evenVBand="0" w:oddHBand="1" w:evenHBand="0" w:firstRowFirstColumn="0" w:firstRowLastColumn="0" w:lastRowFirstColumn="0" w:lastRowLastColumn="0"/>
            </w:pPr>
            <w:r>
              <w:t>2</w:t>
            </w:r>
          </w:p>
        </w:tc>
        <w:tc>
          <w:tcPr>
            <w:tcW w:w="1260" w:type="dxa"/>
            <w:tcBorders>
              <w:left w:val="none" w:sz="0" w:space="0" w:color="auto"/>
              <w:right w:val="none" w:sz="0" w:space="0" w:color="auto"/>
            </w:tcBorders>
          </w:tcPr>
          <w:p w:rsidR="004F5460" w:rsidRDefault="00090BC9" w:rsidP="00CC4B08">
            <w:pPr>
              <w:jc w:val="right"/>
              <w:cnfStyle w:val="000000100000" w:firstRow="0" w:lastRow="0" w:firstColumn="0" w:lastColumn="0" w:oddVBand="0" w:evenVBand="0" w:oddHBand="1" w:evenHBand="0" w:firstRowFirstColumn="0" w:firstRowLastColumn="0" w:lastRowFirstColumn="0" w:lastRowLastColumn="0"/>
            </w:pPr>
            <w:r>
              <w:t>1</w:t>
            </w:r>
          </w:p>
        </w:tc>
      </w:tr>
      <w:tr w:rsidR="004F5460" w:rsidTr="00AF1F06">
        <w:trPr>
          <w:trHeight w:val="276"/>
        </w:trPr>
        <w:tc>
          <w:tcPr>
            <w:cnfStyle w:val="001000000000" w:firstRow="0" w:lastRow="0" w:firstColumn="1" w:lastColumn="0" w:oddVBand="0" w:evenVBand="0" w:oddHBand="0" w:evenHBand="0" w:firstRowFirstColumn="0" w:firstRowLastColumn="0" w:lastRowFirstColumn="0" w:lastRowLastColumn="0"/>
            <w:tcW w:w="3510" w:type="dxa"/>
          </w:tcPr>
          <w:p w:rsidR="004F5460" w:rsidRDefault="004F5460" w:rsidP="00B422D5">
            <w:r>
              <w:t>$ Loan Loss</w:t>
            </w:r>
          </w:p>
        </w:tc>
        <w:tc>
          <w:tcPr>
            <w:tcW w:w="1170" w:type="dxa"/>
          </w:tcPr>
          <w:p w:rsidR="004F5460" w:rsidRDefault="00AF1F06" w:rsidP="00B422D5">
            <w:pPr>
              <w:jc w:val="right"/>
              <w:cnfStyle w:val="000000000000" w:firstRow="0" w:lastRow="0" w:firstColumn="0" w:lastColumn="0" w:oddVBand="0" w:evenVBand="0" w:oddHBand="0" w:evenHBand="0" w:firstRowFirstColumn="0" w:firstRowLastColumn="0" w:lastRowFirstColumn="0" w:lastRowLastColumn="0"/>
            </w:pPr>
            <w:r>
              <w:t>$</w:t>
            </w:r>
            <w:r w:rsidR="000745C3">
              <w:t>6,307</w:t>
            </w:r>
          </w:p>
        </w:tc>
        <w:tc>
          <w:tcPr>
            <w:tcW w:w="1260" w:type="dxa"/>
          </w:tcPr>
          <w:p w:rsidR="004F5460" w:rsidRDefault="00090BC9" w:rsidP="00B422D5">
            <w:pPr>
              <w:jc w:val="right"/>
              <w:cnfStyle w:val="000000000000" w:firstRow="0" w:lastRow="0" w:firstColumn="0" w:lastColumn="0" w:oddVBand="0" w:evenVBand="0" w:oddHBand="0" w:evenHBand="0" w:firstRowFirstColumn="0" w:firstRowLastColumn="0" w:lastRowFirstColumn="0" w:lastRowLastColumn="0"/>
            </w:pPr>
            <w:r>
              <w:t>$3,480</w:t>
            </w:r>
          </w:p>
        </w:tc>
        <w:tc>
          <w:tcPr>
            <w:tcW w:w="1350" w:type="dxa"/>
          </w:tcPr>
          <w:p w:rsidR="004F5460" w:rsidRDefault="00090BC9" w:rsidP="00B422D5">
            <w:pPr>
              <w:jc w:val="right"/>
              <w:cnfStyle w:val="000000000000" w:firstRow="0" w:lastRow="0" w:firstColumn="0" w:lastColumn="0" w:oddVBand="0" w:evenVBand="0" w:oddHBand="0" w:evenHBand="0" w:firstRowFirstColumn="0" w:firstRowLastColumn="0" w:lastRowFirstColumn="0" w:lastRowLastColumn="0"/>
            </w:pPr>
            <w:r>
              <w:t>$8,516</w:t>
            </w:r>
          </w:p>
        </w:tc>
        <w:tc>
          <w:tcPr>
            <w:tcW w:w="1260" w:type="dxa"/>
          </w:tcPr>
          <w:p w:rsidR="004F5460" w:rsidRPr="001B71A7" w:rsidRDefault="00090BC9" w:rsidP="00B422D5">
            <w:pPr>
              <w:jc w:val="right"/>
              <w:cnfStyle w:val="000000000000" w:firstRow="0" w:lastRow="0" w:firstColumn="0" w:lastColumn="0" w:oddVBand="0" w:evenVBand="0" w:oddHBand="0" w:evenHBand="0" w:firstRowFirstColumn="0" w:firstRowLastColumn="0" w:lastRowFirstColumn="0" w:lastRowLastColumn="0"/>
            </w:pPr>
            <w:r>
              <w:t>$2,560</w:t>
            </w:r>
          </w:p>
        </w:tc>
      </w:tr>
    </w:tbl>
    <w:p w:rsidR="00731284" w:rsidRDefault="00731284" w:rsidP="00EF2426"/>
    <w:p w:rsidR="00B422D5" w:rsidRDefault="00B422D5" w:rsidP="00B422D5">
      <w:pPr>
        <w:jc w:val="center"/>
        <w:rPr>
          <w:b/>
          <w:sz w:val="28"/>
          <w:szCs w:val="28"/>
        </w:rPr>
      </w:pPr>
      <w:r w:rsidRPr="00B422D5">
        <w:rPr>
          <w:b/>
          <w:sz w:val="28"/>
          <w:szCs w:val="28"/>
        </w:rPr>
        <w:t xml:space="preserve">Guaranty Loan Portfolio Performance </w:t>
      </w:r>
      <w:r w:rsidR="004F5460">
        <w:rPr>
          <w:b/>
          <w:sz w:val="28"/>
          <w:szCs w:val="28"/>
        </w:rPr>
        <w:t>–</w:t>
      </w:r>
      <w:r w:rsidRPr="00B422D5">
        <w:rPr>
          <w:b/>
          <w:sz w:val="28"/>
          <w:szCs w:val="28"/>
        </w:rPr>
        <w:t xml:space="preserve"> A</w:t>
      </w:r>
      <w:r>
        <w:rPr>
          <w:b/>
          <w:sz w:val="28"/>
          <w:szCs w:val="28"/>
        </w:rPr>
        <w:t>TF</w:t>
      </w:r>
      <w:r w:rsidR="00482FCE">
        <w:rPr>
          <w:b/>
          <w:sz w:val="28"/>
          <w:szCs w:val="28"/>
        </w:rPr>
        <w:t>*</w:t>
      </w:r>
    </w:p>
    <w:p w:rsidR="004F5460" w:rsidRPr="00B422D5" w:rsidRDefault="004F5460" w:rsidP="00B422D5">
      <w:pPr>
        <w:jc w:val="center"/>
        <w:rPr>
          <w:b/>
          <w:sz w:val="28"/>
          <w:szCs w:val="28"/>
        </w:rPr>
      </w:pPr>
    </w:p>
    <w:tbl>
      <w:tblPr>
        <w:tblStyle w:val="LightShading"/>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0"/>
        <w:gridCol w:w="1260"/>
        <w:gridCol w:w="1350"/>
        <w:gridCol w:w="1260"/>
      </w:tblGrid>
      <w:tr w:rsidR="004F5460" w:rsidTr="00AF1F06">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4F5460" w:rsidRPr="002B7FD9" w:rsidRDefault="004F5460" w:rsidP="004F5460">
            <w:pPr>
              <w:rPr>
                <w:b w:val="0"/>
              </w:rPr>
            </w:pPr>
          </w:p>
        </w:tc>
        <w:tc>
          <w:tcPr>
            <w:tcW w:w="1170" w:type="dxa"/>
            <w:tcBorders>
              <w:top w:val="none" w:sz="0" w:space="0" w:color="auto"/>
              <w:left w:val="none" w:sz="0" w:space="0" w:color="auto"/>
              <w:bottom w:val="none" w:sz="0" w:space="0" w:color="auto"/>
              <w:right w:val="none" w:sz="0" w:space="0" w:color="auto"/>
            </w:tcBorders>
          </w:tcPr>
          <w:p w:rsidR="004F5460" w:rsidRPr="004F5460" w:rsidRDefault="004F5460" w:rsidP="00AF1F06">
            <w:pPr>
              <w:jc w:val="center"/>
              <w:cnfStyle w:val="100000000000" w:firstRow="1" w:lastRow="0" w:firstColumn="0" w:lastColumn="0" w:oddVBand="0" w:evenVBand="0" w:oddHBand="0" w:evenHBand="0" w:firstRowFirstColumn="0" w:firstRowLastColumn="0" w:lastRowFirstColumn="0" w:lastRowLastColumn="0"/>
            </w:pPr>
            <w:r w:rsidRPr="00AF1F06">
              <w:rPr>
                <w:highlight w:val="yellow"/>
              </w:rPr>
              <w:t>2012</w:t>
            </w:r>
          </w:p>
        </w:tc>
        <w:tc>
          <w:tcPr>
            <w:tcW w:w="1260" w:type="dxa"/>
            <w:tcBorders>
              <w:top w:val="none" w:sz="0" w:space="0" w:color="auto"/>
              <w:left w:val="none" w:sz="0" w:space="0" w:color="auto"/>
              <w:bottom w:val="none" w:sz="0" w:space="0" w:color="auto"/>
              <w:right w:val="none" w:sz="0" w:space="0" w:color="auto"/>
            </w:tcBorders>
          </w:tcPr>
          <w:p w:rsidR="004F5460" w:rsidRPr="004F5460" w:rsidRDefault="004F5460" w:rsidP="004F5460">
            <w:pPr>
              <w:jc w:val="center"/>
              <w:cnfStyle w:val="100000000000" w:firstRow="1" w:lastRow="0" w:firstColumn="0" w:lastColumn="0" w:oddVBand="0" w:evenVBand="0" w:oddHBand="0" w:evenHBand="0" w:firstRowFirstColumn="0" w:firstRowLastColumn="0" w:lastRowFirstColumn="0" w:lastRowLastColumn="0"/>
            </w:pPr>
            <w:r w:rsidRPr="004F5460">
              <w:t>2011</w:t>
            </w:r>
          </w:p>
        </w:tc>
        <w:tc>
          <w:tcPr>
            <w:tcW w:w="1350" w:type="dxa"/>
            <w:tcBorders>
              <w:top w:val="none" w:sz="0" w:space="0" w:color="auto"/>
              <w:left w:val="none" w:sz="0" w:space="0" w:color="auto"/>
              <w:bottom w:val="none" w:sz="0" w:space="0" w:color="auto"/>
              <w:right w:val="none" w:sz="0" w:space="0" w:color="auto"/>
            </w:tcBorders>
          </w:tcPr>
          <w:p w:rsidR="004F5460" w:rsidRPr="004F5460" w:rsidRDefault="004F5460" w:rsidP="004F5460">
            <w:pPr>
              <w:jc w:val="center"/>
              <w:cnfStyle w:val="100000000000" w:firstRow="1" w:lastRow="0" w:firstColumn="0" w:lastColumn="0" w:oddVBand="0" w:evenVBand="0" w:oddHBand="0" w:evenHBand="0" w:firstRowFirstColumn="0" w:firstRowLastColumn="0" w:lastRowFirstColumn="0" w:lastRowLastColumn="0"/>
            </w:pPr>
            <w:r w:rsidRPr="004F5460">
              <w:t>2010</w:t>
            </w:r>
          </w:p>
        </w:tc>
        <w:tc>
          <w:tcPr>
            <w:tcW w:w="1260" w:type="dxa"/>
            <w:tcBorders>
              <w:top w:val="none" w:sz="0" w:space="0" w:color="auto"/>
              <w:left w:val="none" w:sz="0" w:space="0" w:color="auto"/>
              <w:bottom w:val="none" w:sz="0" w:space="0" w:color="auto"/>
              <w:right w:val="none" w:sz="0" w:space="0" w:color="auto"/>
            </w:tcBorders>
          </w:tcPr>
          <w:p w:rsidR="004F5460" w:rsidRPr="004F5460" w:rsidRDefault="004F5460" w:rsidP="004F5460">
            <w:pPr>
              <w:jc w:val="center"/>
              <w:cnfStyle w:val="100000000000" w:firstRow="1" w:lastRow="0" w:firstColumn="0" w:lastColumn="0" w:oddVBand="0" w:evenVBand="0" w:oddHBand="0" w:evenHBand="0" w:firstRowFirstColumn="0" w:firstRowLastColumn="0" w:lastRowFirstColumn="0" w:lastRowLastColumn="0"/>
            </w:pPr>
            <w:r w:rsidRPr="004F5460">
              <w:t>2009</w:t>
            </w:r>
          </w:p>
        </w:tc>
      </w:tr>
      <w:tr w:rsidR="004F5460" w:rsidTr="00AF1F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tcPr>
          <w:p w:rsidR="004F5460" w:rsidRDefault="004F5460" w:rsidP="007F62DE">
            <w:r>
              <w:t># of Loans</w:t>
            </w:r>
            <w:r w:rsidR="007F62DE">
              <w:t xml:space="preserve"> Outstanding Balance</w:t>
            </w:r>
          </w:p>
        </w:tc>
        <w:tc>
          <w:tcPr>
            <w:tcW w:w="1170" w:type="dxa"/>
            <w:tcBorders>
              <w:left w:val="none" w:sz="0" w:space="0" w:color="auto"/>
              <w:right w:val="none" w:sz="0" w:space="0" w:color="auto"/>
            </w:tcBorders>
          </w:tcPr>
          <w:p w:rsidR="004F5460" w:rsidRDefault="000745C3" w:rsidP="004F5460">
            <w:pPr>
              <w:jc w:val="right"/>
              <w:cnfStyle w:val="000000100000" w:firstRow="0" w:lastRow="0" w:firstColumn="0" w:lastColumn="0" w:oddVBand="0" w:evenVBand="0" w:oddHBand="1" w:evenHBand="0" w:firstRowFirstColumn="0" w:firstRowLastColumn="0" w:lastRowFirstColumn="0" w:lastRowLastColumn="0"/>
            </w:pPr>
            <w:r>
              <w:t>6</w:t>
            </w:r>
          </w:p>
        </w:tc>
        <w:tc>
          <w:tcPr>
            <w:tcW w:w="1260" w:type="dxa"/>
            <w:tcBorders>
              <w:left w:val="none" w:sz="0" w:space="0" w:color="auto"/>
              <w:right w:val="none" w:sz="0" w:space="0" w:color="auto"/>
            </w:tcBorders>
          </w:tcPr>
          <w:p w:rsidR="004F5460" w:rsidRDefault="00090BC9" w:rsidP="004F5460">
            <w:pPr>
              <w:jc w:val="right"/>
              <w:cnfStyle w:val="000000100000" w:firstRow="0" w:lastRow="0" w:firstColumn="0" w:lastColumn="0" w:oddVBand="0" w:evenVBand="0" w:oddHBand="1" w:evenHBand="0" w:firstRowFirstColumn="0" w:firstRowLastColumn="0" w:lastRowFirstColumn="0" w:lastRowLastColumn="0"/>
            </w:pPr>
            <w:r>
              <w:t>5</w:t>
            </w:r>
          </w:p>
        </w:tc>
        <w:tc>
          <w:tcPr>
            <w:tcW w:w="1350" w:type="dxa"/>
            <w:tcBorders>
              <w:left w:val="none" w:sz="0" w:space="0" w:color="auto"/>
              <w:right w:val="none" w:sz="0" w:space="0" w:color="auto"/>
            </w:tcBorders>
          </w:tcPr>
          <w:p w:rsidR="004F5460" w:rsidRDefault="00090BC9" w:rsidP="004F5460">
            <w:pPr>
              <w:jc w:val="right"/>
              <w:cnfStyle w:val="000000100000" w:firstRow="0" w:lastRow="0" w:firstColumn="0" w:lastColumn="0" w:oddVBand="0" w:evenVBand="0" w:oddHBand="1" w:evenHBand="0" w:firstRowFirstColumn="0" w:firstRowLastColumn="0" w:lastRowFirstColumn="0" w:lastRowLastColumn="0"/>
            </w:pPr>
            <w:r>
              <w:t>3</w:t>
            </w:r>
          </w:p>
        </w:tc>
        <w:tc>
          <w:tcPr>
            <w:tcW w:w="1260" w:type="dxa"/>
            <w:tcBorders>
              <w:left w:val="none" w:sz="0" w:space="0" w:color="auto"/>
              <w:right w:val="none" w:sz="0" w:space="0" w:color="auto"/>
            </w:tcBorders>
          </w:tcPr>
          <w:p w:rsidR="004F5460" w:rsidRDefault="00090BC9" w:rsidP="004F5460">
            <w:pPr>
              <w:jc w:val="right"/>
              <w:cnfStyle w:val="000000100000" w:firstRow="0" w:lastRow="0" w:firstColumn="0" w:lastColumn="0" w:oddVBand="0" w:evenVBand="0" w:oddHBand="1" w:evenHBand="0" w:firstRowFirstColumn="0" w:firstRowLastColumn="0" w:lastRowFirstColumn="0" w:lastRowLastColumn="0"/>
            </w:pPr>
            <w:r>
              <w:t>4</w:t>
            </w:r>
          </w:p>
        </w:tc>
      </w:tr>
      <w:tr w:rsidR="004F5460" w:rsidTr="00AF1F06">
        <w:trPr>
          <w:trHeight w:val="276"/>
        </w:trPr>
        <w:tc>
          <w:tcPr>
            <w:cnfStyle w:val="001000000000" w:firstRow="0" w:lastRow="0" w:firstColumn="1" w:lastColumn="0" w:oddVBand="0" w:evenVBand="0" w:oddHBand="0" w:evenHBand="0" w:firstRowFirstColumn="0" w:firstRowLastColumn="0" w:lastRowFirstColumn="0" w:lastRowLastColumn="0"/>
            <w:tcW w:w="3510" w:type="dxa"/>
          </w:tcPr>
          <w:p w:rsidR="004F5460" w:rsidRPr="00B422D5" w:rsidRDefault="004F5460" w:rsidP="004F5460">
            <w:pPr>
              <w:rPr>
                <w:sz w:val="22"/>
                <w:szCs w:val="22"/>
              </w:rPr>
            </w:pPr>
            <w:r>
              <w:rPr>
                <w:sz w:val="22"/>
                <w:szCs w:val="22"/>
              </w:rPr>
              <w:t xml:space="preserve">$ </w:t>
            </w:r>
            <w:r w:rsidRPr="00B422D5">
              <w:rPr>
                <w:sz w:val="22"/>
                <w:szCs w:val="22"/>
              </w:rPr>
              <w:t>Loan Balance</w:t>
            </w:r>
          </w:p>
        </w:tc>
        <w:tc>
          <w:tcPr>
            <w:tcW w:w="1170" w:type="dxa"/>
          </w:tcPr>
          <w:p w:rsidR="004F5460" w:rsidRPr="000745C3" w:rsidRDefault="000745C3" w:rsidP="004F5460">
            <w:pPr>
              <w:jc w:val="right"/>
              <w:cnfStyle w:val="000000000000" w:firstRow="0" w:lastRow="0" w:firstColumn="0" w:lastColumn="0" w:oddVBand="0" w:evenVBand="0" w:oddHBand="0" w:evenHBand="0" w:firstRowFirstColumn="0" w:firstRowLastColumn="0" w:lastRowFirstColumn="0" w:lastRowLastColumn="0"/>
            </w:pPr>
            <w:r w:rsidRPr="000745C3">
              <w:t>37,188</w:t>
            </w:r>
          </w:p>
        </w:tc>
        <w:tc>
          <w:tcPr>
            <w:tcW w:w="1260" w:type="dxa"/>
          </w:tcPr>
          <w:p w:rsidR="004F5460" w:rsidRPr="000745C3" w:rsidRDefault="00764E04" w:rsidP="004F5460">
            <w:pPr>
              <w:jc w:val="right"/>
              <w:cnfStyle w:val="000000000000" w:firstRow="0" w:lastRow="0" w:firstColumn="0" w:lastColumn="0" w:oddVBand="0" w:evenVBand="0" w:oddHBand="0" w:evenHBand="0" w:firstRowFirstColumn="0" w:firstRowLastColumn="0" w:lastRowFirstColumn="0" w:lastRowLastColumn="0"/>
            </w:pPr>
            <w:r w:rsidRPr="000745C3">
              <w:t>$</w:t>
            </w:r>
            <w:r w:rsidR="00090BC9" w:rsidRPr="000745C3">
              <w:t>36</w:t>
            </w:r>
            <w:r w:rsidRPr="000745C3">
              <w:t>,</w:t>
            </w:r>
            <w:r w:rsidR="00090BC9" w:rsidRPr="000745C3">
              <w:t>363</w:t>
            </w:r>
          </w:p>
        </w:tc>
        <w:tc>
          <w:tcPr>
            <w:tcW w:w="1350" w:type="dxa"/>
          </w:tcPr>
          <w:p w:rsidR="004F5460" w:rsidRPr="00764E04" w:rsidRDefault="00764E04" w:rsidP="004F5460">
            <w:pPr>
              <w:jc w:val="center"/>
              <w:cnfStyle w:val="000000000000" w:firstRow="0" w:lastRow="0" w:firstColumn="0" w:lastColumn="0" w:oddVBand="0" w:evenVBand="0" w:oddHBand="0" w:evenHBand="0" w:firstRowFirstColumn="0" w:firstRowLastColumn="0" w:lastRowFirstColumn="0" w:lastRowLastColumn="0"/>
            </w:pPr>
            <w:r>
              <w:t>$</w:t>
            </w:r>
            <w:r w:rsidR="002B3621" w:rsidRPr="00764E04">
              <w:t>57</w:t>
            </w:r>
            <w:r>
              <w:t>,</w:t>
            </w:r>
            <w:r w:rsidR="002B3621" w:rsidRPr="00764E04">
              <w:t>986</w:t>
            </w:r>
          </w:p>
        </w:tc>
        <w:tc>
          <w:tcPr>
            <w:tcW w:w="1260" w:type="dxa"/>
          </w:tcPr>
          <w:p w:rsidR="004F5460" w:rsidRPr="00764E04" w:rsidRDefault="00764E04" w:rsidP="004F5460">
            <w:pPr>
              <w:jc w:val="right"/>
              <w:cnfStyle w:val="000000000000" w:firstRow="0" w:lastRow="0" w:firstColumn="0" w:lastColumn="0" w:oddVBand="0" w:evenVBand="0" w:oddHBand="0" w:evenHBand="0" w:firstRowFirstColumn="0" w:firstRowLastColumn="0" w:lastRowFirstColumn="0" w:lastRowLastColumn="0"/>
            </w:pPr>
            <w:r>
              <w:t>$</w:t>
            </w:r>
            <w:r w:rsidR="002B3621" w:rsidRPr="00764E04">
              <w:t>82</w:t>
            </w:r>
            <w:r>
              <w:t>,</w:t>
            </w:r>
            <w:r w:rsidR="002B3621" w:rsidRPr="00764E04">
              <w:t>303</w:t>
            </w:r>
          </w:p>
        </w:tc>
      </w:tr>
      <w:tr w:rsidR="004F5460" w:rsidTr="00AF1F0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tcPr>
          <w:p w:rsidR="004F5460" w:rsidRDefault="004F5460" w:rsidP="004F5460">
            <w:r>
              <w:t># of Defaults</w:t>
            </w:r>
          </w:p>
        </w:tc>
        <w:tc>
          <w:tcPr>
            <w:tcW w:w="1170" w:type="dxa"/>
            <w:tcBorders>
              <w:left w:val="none" w:sz="0" w:space="0" w:color="auto"/>
              <w:right w:val="none" w:sz="0" w:space="0" w:color="auto"/>
            </w:tcBorders>
          </w:tcPr>
          <w:p w:rsidR="004F5460" w:rsidRDefault="000745C3" w:rsidP="004F5460">
            <w:pPr>
              <w:jc w:val="right"/>
              <w:cnfStyle w:val="000000100000" w:firstRow="0" w:lastRow="0" w:firstColumn="0" w:lastColumn="0" w:oddVBand="0" w:evenVBand="0" w:oddHBand="1" w:evenHBand="0" w:firstRowFirstColumn="0" w:firstRowLastColumn="0" w:lastRowFirstColumn="0" w:lastRowLastColumn="0"/>
            </w:pPr>
            <w:r>
              <w:t>0</w:t>
            </w:r>
          </w:p>
        </w:tc>
        <w:tc>
          <w:tcPr>
            <w:tcW w:w="1260" w:type="dxa"/>
            <w:tcBorders>
              <w:left w:val="none" w:sz="0" w:space="0" w:color="auto"/>
              <w:right w:val="none" w:sz="0" w:space="0" w:color="auto"/>
            </w:tcBorders>
          </w:tcPr>
          <w:p w:rsidR="004F5460" w:rsidRDefault="000745C3" w:rsidP="004F5460">
            <w:pPr>
              <w:jc w:val="right"/>
              <w:cnfStyle w:val="000000100000" w:firstRow="0" w:lastRow="0" w:firstColumn="0" w:lastColumn="0" w:oddVBand="0" w:evenVBand="0" w:oddHBand="1" w:evenHBand="0" w:firstRowFirstColumn="0" w:firstRowLastColumn="0" w:lastRowFirstColumn="0" w:lastRowLastColumn="0"/>
            </w:pPr>
            <w:r>
              <w:t>0</w:t>
            </w:r>
          </w:p>
        </w:tc>
        <w:tc>
          <w:tcPr>
            <w:tcW w:w="1350" w:type="dxa"/>
            <w:tcBorders>
              <w:left w:val="none" w:sz="0" w:space="0" w:color="auto"/>
              <w:right w:val="none" w:sz="0" w:space="0" w:color="auto"/>
            </w:tcBorders>
          </w:tcPr>
          <w:p w:rsidR="004F5460" w:rsidRDefault="002B3621" w:rsidP="004F5460">
            <w:pPr>
              <w:jc w:val="right"/>
              <w:cnfStyle w:val="000000100000" w:firstRow="0" w:lastRow="0" w:firstColumn="0" w:lastColumn="0" w:oddVBand="0" w:evenVBand="0" w:oddHBand="1" w:evenHBand="0" w:firstRowFirstColumn="0" w:firstRowLastColumn="0" w:lastRowFirstColumn="0" w:lastRowLastColumn="0"/>
            </w:pPr>
            <w:r>
              <w:t>1</w:t>
            </w:r>
          </w:p>
        </w:tc>
        <w:tc>
          <w:tcPr>
            <w:tcW w:w="1260" w:type="dxa"/>
            <w:tcBorders>
              <w:left w:val="none" w:sz="0" w:space="0" w:color="auto"/>
              <w:right w:val="none" w:sz="0" w:space="0" w:color="auto"/>
            </w:tcBorders>
          </w:tcPr>
          <w:p w:rsidR="004F5460" w:rsidRDefault="002B3621" w:rsidP="004F5460">
            <w:pPr>
              <w:jc w:val="right"/>
              <w:cnfStyle w:val="000000100000" w:firstRow="0" w:lastRow="0" w:firstColumn="0" w:lastColumn="0" w:oddVBand="0" w:evenVBand="0" w:oddHBand="1" w:evenHBand="0" w:firstRowFirstColumn="0" w:firstRowLastColumn="0" w:lastRowFirstColumn="0" w:lastRowLastColumn="0"/>
            </w:pPr>
            <w:r>
              <w:t>0</w:t>
            </w:r>
          </w:p>
        </w:tc>
      </w:tr>
      <w:tr w:rsidR="004F5460" w:rsidTr="00AF1F06">
        <w:trPr>
          <w:trHeight w:val="276"/>
        </w:trPr>
        <w:tc>
          <w:tcPr>
            <w:cnfStyle w:val="001000000000" w:firstRow="0" w:lastRow="0" w:firstColumn="1" w:lastColumn="0" w:oddVBand="0" w:evenVBand="0" w:oddHBand="0" w:evenHBand="0" w:firstRowFirstColumn="0" w:firstRowLastColumn="0" w:lastRowFirstColumn="0" w:lastRowLastColumn="0"/>
            <w:tcW w:w="3510" w:type="dxa"/>
          </w:tcPr>
          <w:p w:rsidR="004F5460" w:rsidRDefault="004F5460" w:rsidP="004F5460">
            <w:r>
              <w:t>$ Loan Loss</w:t>
            </w:r>
          </w:p>
        </w:tc>
        <w:tc>
          <w:tcPr>
            <w:tcW w:w="1170" w:type="dxa"/>
          </w:tcPr>
          <w:p w:rsidR="004F5460" w:rsidRDefault="000745C3" w:rsidP="004F5460">
            <w:pPr>
              <w:jc w:val="right"/>
              <w:cnfStyle w:val="000000000000" w:firstRow="0" w:lastRow="0" w:firstColumn="0" w:lastColumn="0" w:oddVBand="0" w:evenVBand="0" w:oddHBand="0" w:evenHBand="0" w:firstRowFirstColumn="0" w:firstRowLastColumn="0" w:lastRowFirstColumn="0" w:lastRowLastColumn="0"/>
            </w:pPr>
            <w:r>
              <w:t>0</w:t>
            </w:r>
          </w:p>
        </w:tc>
        <w:tc>
          <w:tcPr>
            <w:tcW w:w="1260" w:type="dxa"/>
          </w:tcPr>
          <w:p w:rsidR="004F5460" w:rsidRDefault="000745C3" w:rsidP="004F5460">
            <w:pPr>
              <w:jc w:val="right"/>
              <w:cnfStyle w:val="000000000000" w:firstRow="0" w:lastRow="0" w:firstColumn="0" w:lastColumn="0" w:oddVBand="0" w:evenVBand="0" w:oddHBand="0" w:evenHBand="0" w:firstRowFirstColumn="0" w:firstRowLastColumn="0" w:lastRowFirstColumn="0" w:lastRowLastColumn="0"/>
            </w:pPr>
            <w:r>
              <w:t>0</w:t>
            </w:r>
          </w:p>
        </w:tc>
        <w:tc>
          <w:tcPr>
            <w:tcW w:w="1350" w:type="dxa"/>
          </w:tcPr>
          <w:p w:rsidR="004F5460" w:rsidRDefault="00764E04" w:rsidP="004F5460">
            <w:pPr>
              <w:jc w:val="right"/>
              <w:cnfStyle w:val="000000000000" w:firstRow="0" w:lastRow="0" w:firstColumn="0" w:lastColumn="0" w:oddVBand="0" w:evenVBand="0" w:oddHBand="0" w:evenHBand="0" w:firstRowFirstColumn="0" w:firstRowLastColumn="0" w:lastRowFirstColumn="0" w:lastRowLastColumn="0"/>
            </w:pPr>
            <w:r>
              <w:t>$</w:t>
            </w:r>
            <w:r w:rsidR="002B3621">
              <w:t>19</w:t>
            </w:r>
            <w:r>
              <w:t>,</w:t>
            </w:r>
            <w:r w:rsidR="002B3621">
              <w:t>919</w:t>
            </w:r>
          </w:p>
        </w:tc>
        <w:tc>
          <w:tcPr>
            <w:tcW w:w="1260" w:type="dxa"/>
          </w:tcPr>
          <w:p w:rsidR="004F5460" w:rsidRPr="001B71A7" w:rsidRDefault="002B3621" w:rsidP="004F5460">
            <w:pPr>
              <w:jc w:val="right"/>
              <w:cnfStyle w:val="000000000000" w:firstRow="0" w:lastRow="0" w:firstColumn="0" w:lastColumn="0" w:oddVBand="0" w:evenVBand="0" w:oddHBand="0" w:evenHBand="0" w:firstRowFirstColumn="0" w:firstRowLastColumn="0" w:lastRowFirstColumn="0" w:lastRowLastColumn="0"/>
            </w:pPr>
            <w:r>
              <w:t>0</w:t>
            </w:r>
          </w:p>
        </w:tc>
      </w:tr>
    </w:tbl>
    <w:p w:rsidR="00B422D5" w:rsidRDefault="00B422D5" w:rsidP="00B422D5"/>
    <w:p w:rsidR="00B422D5" w:rsidRDefault="00B422D5" w:rsidP="00B422D5"/>
    <w:p w:rsidR="00CA169C" w:rsidRPr="00CA169C" w:rsidRDefault="00CA169C" w:rsidP="00EF2426"/>
    <w:p w:rsidR="000B0621" w:rsidRPr="00CA169C" w:rsidRDefault="00CA169C" w:rsidP="00CA169C">
      <w:pPr>
        <w:jc w:val="center"/>
        <w:rPr>
          <w:b/>
          <w:sz w:val="28"/>
          <w:szCs w:val="28"/>
        </w:rPr>
      </w:pPr>
      <w:r w:rsidRPr="00CA169C">
        <w:rPr>
          <w:b/>
          <w:sz w:val="28"/>
          <w:szCs w:val="28"/>
        </w:rPr>
        <w:t>Annual Certified Audit – Total liabilities and net assets by year</w:t>
      </w:r>
      <w:r w:rsidR="00482FCE">
        <w:rPr>
          <w:b/>
          <w:sz w:val="28"/>
          <w:szCs w:val="28"/>
        </w:rPr>
        <w:t>**</w:t>
      </w:r>
    </w:p>
    <w:p w:rsidR="00731284" w:rsidRDefault="00731284" w:rsidP="00EF2426"/>
    <w:tbl>
      <w:tblPr>
        <w:tblStyle w:val="TableGrid"/>
        <w:tblW w:w="0" w:type="auto"/>
        <w:tblInd w:w="2055" w:type="dxa"/>
        <w:tblLayout w:type="fixed"/>
        <w:tblLook w:val="04A0" w:firstRow="1" w:lastRow="0" w:firstColumn="1" w:lastColumn="0" w:noHBand="0" w:noVBand="1"/>
      </w:tblPr>
      <w:tblGrid>
        <w:gridCol w:w="1314"/>
        <w:gridCol w:w="1314"/>
        <w:gridCol w:w="1314"/>
        <w:gridCol w:w="1314"/>
      </w:tblGrid>
      <w:tr w:rsidR="004F5460" w:rsidTr="004F5460">
        <w:trPr>
          <w:trHeight w:val="276"/>
        </w:trPr>
        <w:tc>
          <w:tcPr>
            <w:tcW w:w="1314" w:type="dxa"/>
          </w:tcPr>
          <w:p w:rsidR="004F5460" w:rsidRPr="002B7FD9" w:rsidRDefault="004F5460" w:rsidP="004F5460">
            <w:pPr>
              <w:jc w:val="center"/>
              <w:rPr>
                <w:b/>
              </w:rPr>
            </w:pPr>
            <w:r w:rsidRPr="002B7FD9">
              <w:rPr>
                <w:b/>
              </w:rPr>
              <w:t>2</w:t>
            </w:r>
            <w:r>
              <w:rPr>
                <w:b/>
              </w:rPr>
              <w:t>012</w:t>
            </w:r>
          </w:p>
        </w:tc>
        <w:tc>
          <w:tcPr>
            <w:tcW w:w="1314" w:type="dxa"/>
          </w:tcPr>
          <w:p w:rsidR="004F5460" w:rsidRPr="002B7FD9" w:rsidRDefault="004F5460" w:rsidP="004F5460">
            <w:pPr>
              <w:jc w:val="center"/>
              <w:rPr>
                <w:b/>
              </w:rPr>
            </w:pPr>
            <w:r w:rsidRPr="002B7FD9">
              <w:rPr>
                <w:b/>
              </w:rPr>
              <w:t>20</w:t>
            </w:r>
            <w:r>
              <w:rPr>
                <w:b/>
              </w:rPr>
              <w:t>11</w:t>
            </w:r>
          </w:p>
        </w:tc>
        <w:tc>
          <w:tcPr>
            <w:tcW w:w="1314" w:type="dxa"/>
          </w:tcPr>
          <w:p w:rsidR="004F5460" w:rsidRPr="002B7FD9" w:rsidRDefault="004F5460" w:rsidP="004F5460">
            <w:pPr>
              <w:jc w:val="center"/>
              <w:rPr>
                <w:b/>
              </w:rPr>
            </w:pPr>
            <w:r w:rsidRPr="002B7FD9">
              <w:rPr>
                <w:b/>
              </w:rPr>
              <w:t>20</w:t>
            </w:r>
            <w:r>
              <w:rPr>
                <w:b/>
              </w:rPr>
              <w:t>10</w:t>
            </w:r>
          </w:p>
        </w:tc>
        <w:tc>
          <w:tcPr>
            <w:tcW w:w="1314" w:type="dxa"/>
          </w:tcPr>
          <w:p w:rsidR="004F5460" w:rsidRPr="002B7FD9" w:rsidRDefault="004F5460" w:rsidP="002B7FD9">
            <w:pPr>
              <w:jc w:val="center"/>
              <w:rPr>
                <w:b/>
              </w:rPr>
            </w:pPr>
            <w:r>
              <w:rPr>
                <w:b/>
              </w:rPr>
              <w:t>2009</w:t>
            </w:r>
          </w:p>
        </w:tc>
      </w:tr>
      <w:tr w:rsidR="004F5460" w:rsidTr="004F5460">
        <w:trPr>
          <w:trHeight w:val="276"/>
        </w:trPr>
        <w:tc>
          <w:tcPr>
            <w:tcW w:w="1314" w:type="dxa"/>
          </w:tcPr>
          <w:p w:rsidR="004F5460" w:rsidRDefault="007F62DE" w:rsidP="000745C3">
            <w:pPr>
              <w:jc w:val="right"/>
            </w:pPr>
            <w:r>
              <w:t>$</w:t>
            </w:r>
            <w:r w:rsidR="000745C3">
              <w:t>1,576,589</w:t>
            </w:r>
          </w:p>
        </w:tc>
        <w:tc>
          <w:tcPr>
            <w:tcW w:w="1314" w:type="dxa"/>
          </w:tcPr>
          <w:p w:rsidR="004F5460" w:rsidRDefault="007F62DE" w:rsidP="002B7FD9">
            <w:pPr>
              <w:jc w:val="right"/>
            </w:pPr>
            <w:r>
              <w:t>$</w:t>
            </w:r>
            <w:r w:rsidR="000745C3">
              <w:t>1,613,494</w:t>
            </w:r>
          </w:p>
        </w:tc>
        <w:tc>
          <w:tcPr>
            <w:tcW w:w="1314" w:type="dxa"/>
          </w:tcPr>
          <w:p w:rsidR="004F5460" w:rsidRDefault="007F62DE" w:rsidP="002B7FD9">
            <w:pPr>
              <w:jc w:val="right"/>
            </w:pPr>
            <w:r>
              <w:t>$</w:t>
            </w:r>
            <w:r w:rsidR="000745C3">
              <w:t>1,679,183</w:t>
            </w:r>
          </w:p>
        </w:tc>
        <w:tc>
          <w:tcPr>
            <w:tcW w:w="1314" w:type="dxa"/>
          </w:tcPr>
          <w:p w:rsidR="004F5460" w:rsidRDefault="007F62DE" w:rsidP="002B7FD9">
            <w:pPr>
              <w:jc w:val="right"/>
            </w:pPr>
            <w:r>
              <w:t>$</w:t>
            </w:r>
            <w:r w:rsidR="000745C3">
              <w:t>1,716,410</w:t>
            </w:r>
          </w:p>
        </w:tc>
      </w:tr>
    </w:tbl>
    <w:p w:rsidR="00EE1206" w:rsidRDefault="00EE1206" w:rsidP="00EF2426"/>
    <w:p w:rsidR="00CA169C" w:rsidRDefault="00CA169C" w:rsidP="00EF2426"/>
    <w:p w:rsidR="0002498A" w:rsidRDefault="0002498A" w:rsidP="00CA169C">
      <w:pPr>
        <w:jc w:val="center"/>
        <w:rPr>
          <w:b/>
          <w:sz w:val="28"/>
          <w:szCs w:val="28"/>
        </w:rPr>
      </w:pPr>
      <w:r w:rsidRPr="00CA169C">
        <w:rPr>
          <w:b/>
          <w:sz w:val="28"/>
          <w:szCs w:val="28"/>
        </w:rPr>
        <w:t>Compare Buy-down expenses to interest income annually</w:t>
      </w:r>
      <w:r w:rsidR="00CA169C">
        <w:rPr>
          <w:b/>
          <w:sz w:val="28"/>
          <w:szCs w:val="28"/>
        </w:rPr>
        <w:t xml:space="preserve"> </w:t>
      </w:r>
      <w:r w:rsidR="00482FCE">
        <w:rPr>
          <w:b/>
          <w:sz w:val="28"/>
          <w:szCs w:val="28"/>
        </w:rPr>
        <w:t>–</w:t>
      </w:r>
      <w:r w:rsidR="00CA169C">
        <w:rPr>
          <w:b/>
          <w:sz w:val="28"/>
          <w:szCs w:val="28"/>
        </w:rPr>
        <w:t xml:space="preserve"> </w:t>
      </w:r>
      <w:r w:rsidR="00CA169C" w:rsidRPr="00CA169C">
        <w:rPr>
          <w:b/>
          <w:sz w:val="28"/>
          <w:szCs w:val="28"/>
        </w:rPr>
        <w:t>AFP</w:t>
      </w:r>
      <w:r w:rsidR="00482FCE">
        <w:rPr>
          <w:b/>
          <w:sz w:val="28"/>
          <w:szCs w:val="28"/>
        </w:rPr>
        <w:t>**</w:t>
      </w:r>
    </w:p>
    <w:p w:rsidR="00CA169C" w:rsidRPr="00CA169C" w:rsidRDefault="00CA169C" w:rsidP="00CA169C">
      <w:pPr>
        <w:jc w:val="center"/>
        <w:rPr>
          <w:b/>
          <w:sz w:val="28"/>
          <w:szCs w:val="28"/>
        </w:rPr>
      </w:pPr>
    </w:p>
    <w:tbl>
      <w:tblPr>
        <w:tblStyle w:val="TableGrid"/>
        <w:tblW w:w="0" w:type="auto"/>
        <w:tblInd w:w="770" w:type="dxa"/>
        <w:tblLayout w:type="fixed"/>
        <w:tblLook w:val="04A0" w:firstRow="1" w:lastRow="0" w:firstColumn="1" w:lastColumn="0" w:noHBand="0" w:noVBand="1"/>
      </w:tblPr>
      <w:tblGrid>
        <w:gridCol w:w="2340"/>
        <w:gridCol w:w="1372"/>
        <w:gridCol w:w="1373"/>
        <w:gridCol w:w="1372"/>
        <w:gridCol w:w="1373"/>
      </w:tblGrid>
      <w:tr w:rsidR="00132B83" w:rsidTr="00CA169C">
        <w:trPr>
          <w:trHeight w:val="276"/>
        </w:trPr>
        <w:tc>
          <w:tcPr>
            <w:tcW w:w="2340" w:type="dxa"/>
          </w:tcPr>
          <w:p w:rsidR="00132B83" w:rsidRPr="002B7FD9" w:rsidRDefault="00132B83" w:rsidP="0002498A">
            <w:pPr>
              <w:jc w:val="center"/>
              <w:rPr>
                <w:b/>
              </w:rPr>
            </w:pPr>
          </w:p>
        </w:tc>
        <w:tc>
          <w:tcPr>
            <w:tcW w:w="1372" w:type="dxa"/>
          </w:tcPr>
          <w:p w:rsidR="00132B83" w:rsidRPr="002B7FD9" w:rsidRDefault="004F5460" w:rsidP="0002498A">
            <w:pPr>
              <w:jc w:val="center"/>
              <w:rPr>
                <w:b/>
              </w:rPr>
            </w:pPr>
            <w:r>
              <w:rPr>
                <w:b/>
              </w:rPr>
              <w:t>2012</w:t>
            </w:r>
          </w:p>
        </w:tc>
        <w:tc>
          <w:tcPr>
            <w:tcW w:w="1373" w:type="dxa"/>
          </w:tcPr>
          <w:p w:rsidR="00132B83" w:rsidRPr="002B7FD9" w:rsidRDefault="004F5460" w:rsidP="0002498A">
            <w:pPr>
              <w:jc w:val="center"/>
              <w:rPr>
                <w:b/>
              </w:rPr>
            </w:pPr>
            <w:r>
              <w:rPr>
                <w:b/>
              </w:rPr>
              <w:t>2011</w:t>
            </w:r>
          </w:p>
        </w:tc>
        <w:tc>
          <w:tcPr>
            <w:tcW w:w="1372" w:type="dxa"/>
          </w:tcPr>
          <w:p w:rsidR="00132B83" w:rsidRPr="002B7FD9" w:rsidRDefault="004F5460" w:rsidP="0002498A">
            <w:pPr>
              <w:jc w:val="center"/>
              <w:rPr>
                <w:b/>
              </w:rPr>
            </w:pPr>
            <w:r>
              <w:rPr>
                <w:b/>
              </w:rPr>
              <w:t>2010</w:t>
            </w:r>
          </w:p>
        </w:tc>
        <w:tc>
          <w:tcPr>
            <w:tcW w:w="1373" w:type="dxa"/>
          </w:tcPr>
          <w:p w:rsidR="00132B83" w:rsidRPr="002B7FD9" w:rsidRDefault="004F5460" w:rsidP="0002498A">
            <w:pPr>
              <w:jc w:val="center"/>
              <w:rPr>
                <w:b/>
              </w:rPr>
            </w:pPr>
            <w:r>
              <w:rPr>
                <w:b/>
              </w:rPr>
              <w:t>2009</w:t>
            </w:r>
          </w:p>
        </w:tc>
      </w:tr>
      <w:tr w:rsidR="00132B83" w:rsidTr="00CA169C">
        <w:trPr>
          <w:trHeight w:val="276"/>
        </w:trPr>
        <w:tc>
          <w:tcPr>
            <w:tcW w:w="2340" w:type="dxa"/>
          </w:tcPr>
          <w:p w:rsidR="00132B83" w:rsidRDefault="00132B83" w:rsidP="0002498A">
            <w:r>
              <w:t>Buy Down Expense</w:t>
            </w:r>
          </w:p>
        </w:tc>
        <w:tc>
          <w:tcPr>
            <w:tcW w:w="1372" w:type="dxa"/>
          </w:tcPr>
          <w:p w:rsidR="00132B83" w:rsidRDefault="007F62DE" w:rsidP="0002498A">
            <w:pPr>
              <w:jc w:val="right"/>
            </w:pPr>
            <w:r>
              <w:t>$</w:t>
            </w:r>
            <w:r w:rsidR="000745C3">
              <w:t>11,438</w:t>
            </w:r>
          </w:p>
        </w:tc>
        <w:tc>
          <w:tcPr>
            <w:tcW w:w="1373" w:type="dxa"/>
          </w:tcPr>
          <w:p w:rsidR="00132B83" w:rsidRDefault="007F62DE" w:rsidP="0002498A">
            <w:pPr>
              <w:jc w:val="right"/>
            </w:pPr>
            <w:r>
              <w:t>$</w:t>
            </w:r>
            <w:r w:rsidR="000745C3">
              <w:t>29,733</w:t>
            </w:r>
          </w:p>
        </w:tc>
        <w:tc>
          <w:tcPr>
            <w:tcW w:w="1372" w:type="dxa"/>
          </w:tcPr>
          <w:p w:rsidR="00132B83" w:rsidRDefault="007F62DE" w:rsidP="0002498A">
            <w:pPr>
              <w:jc w:val="right"/>
            </w:pPr>
            <w:r>
              <w:t>$</w:t>
            </w:r>
            <w:r w:rsidR="000745C3">
              <w:t>17,902</w:t>
            </w:r>
          </w:p>
        </w:tc>
        <w:tc>
          <w:tcPr>
            <w:tcW w:w="1373" w:type="dxa"/>
          </w:tcPr>
          <w:p w:rsidR="00132B83" w:rsidRDefault="007F62DE" w:rsidP="0002498A">
            <w:pPr>
              <w:jc w:val="right"/>
            </w:pPr>
            <w:r>
              <w:t>$</w:t>
            </w:r>
            <w:r w:rsidR="000745C3">
              <w:t>9,077</w:t>
            </w:r>
          </w:p>
        </w:tc>
      </w:tr>
      <w:tr w:rsidR="00132B83" w:rsidTr="00CA169C">
        <w:trPr>
          <w:trHeight w:val="276"/>
        </w:trPr>
        <w:tc>
          <w:tcPr>
            <w:tcW w:w="2340" w:type="dxa"/>
          </w:tcPr>
          <w:p w:rsidR="00132B83" w:rsidRDefault="00132B83" w:rsidP="0002498A">
            <w:r>
              <w:t>Interest Earned</w:t>
            </w:r>
          </w:p>
        </w:tc>
        <w:tc>
          <w:tcPr>
            <w:tcW w:w="1372" w:type="dxa"/>
          </w:tcPr>
          <w:p w:rsidR="00132B83" w:rsidRDefault="007F62DE" w:rsidP="0002498A">
            <w:pPr>
              <w:jc w:val="right"/>
            </w:pPr>
            <w:r>
              <w:t>$</w:t>
            </w:r>
            <w:r w:rsidR="00553AE2">
              <w:t>2,172</w:t>
            </w:r>
          </w:p>
        </w:tc>
        <w:tc>
          <w:tcPr>
            <w:tcW w:w="1373" w:type="dxa"/>
          </w:tcPr>
          <w:p w:rsidR="00132B83" w:rsidRDefault="007F62DE" w:rsidP="0002498A">
            <w:pPr>
              <w:jc w:val="right"/>
            </w:pPr>
            <w:r>
              <w:t>$</w:t>
            </w:r>
            <w:r w:rsidR="00553AE2">
              <w:t>3,620</w:t>
            </w:r>
          </w:p>
        </w:tc>
        <w:tc>
          <w:tcPr>
            <w:tcW w:w="1372" w:type="dxa"/>
          </w:tcPr>
          <w:p w:rsidR="00132B83" w:rsidRDefault="007F62DE" w:rsidP="0002498A">
            <w:pPr>
              <w:jc w:val="right"/>
            </w:pPr>
            <w:r>
              <w:t>$</w:t>
            </w:r>
            <w:r w:rsidR="00553AE2">
              <w:t>7,463</w:t>
            </w:r>
          </w:p>
        </w:tc>
        <w:tc>
          <w:tcPr>
            <w:tcW w:w="1373" w:type="dxa"/>
          </w:tcPr>
          <w:p w:rsidR="00132B83" w:rsidRDefault="007F62DE" w:rsidP="0002498A">
            <w:pPr>
              <w:jc w:val="right"/>
            </w:pPr>
            <w:r>
              <w:t>$</w:t>
            </w:r>
            <w:r w:rsidR="00553AE2">
              <w:t>21,784</w:t>
            </w:r>
          </w:p>
        </w:tc>
      </w:tr>
    </w:tbl>
    <w:p w:rsidR="0002498A" w:rsidRDefault="0002498A" w:rsidP="00EF2426"/>
    <w:p w:rsidR="00132B83" w:rsidRPr="00CA169C" w:rsidRDefault="00132B83" w:rsidP="00CA169C">
      <w:pPr>
        <w:jc w:val="center"/>
        <w:rPr>
          <w:b/>
          <w:sz w:val="28"/>
          <w:szCs w:val="28"/>
        </w:rPr>
      </w:pPr>
      <w:r w:rsidRPr="00CA169C">
        <w:rPr>
          <w:b/>
          <w:sz w:val="28"/>
          <w:szCs w:val="28"/>
        </w:rPr>
        <w:t>Compare Buy-down expenses to interest income annually</w:t>
      </w:r>
      <w:r w:rsidR="00CA169C" w:rsidRPr="00CA169C">
        <w:rPr>
          <w:b/>
          <w:sz w:val="28"/>
          <w:szCs w:val="28"/>
        </w:rPr>
        <w:t xml:space="preserve"> </w:t>
      </w:r>
      <w:r w:rsidR="00482FCE">
        <w:rPr>
          <w:b/>
          <w:sz w:val="28"/>
          <w:szCs w:val="28"/>
        </w:rPr>
        <w:t>–</w:t>
      </w:r>
      <w:r w:rsidR="00CA169C" w:rsidRPr="00CA169C">
        <w:rPr>
          <w:b/>
          <w:sz w:val="28"/>
          <w:szCs w:val="28"/>
        </w:rPr>
        <w:t xml:space="preserve"> ATF</w:t>
      </w:r>
      <w:r w:rsidR="00482FCE">
        <w:rPr>
          <w:b/>
          <w:sz w:val="28"/>
          <w:szCs w:val="28"/>
        </w:rPr>
        <w:t>**</w:t>
      </w:r>
    </w:p>
    <w:p w:rsidR="0002498A" w:rsidRDefault="0002498A" w:rsidP="00EF2426"/>
    <w:tbl>
      <w:tblPr>
        <w:tblStyle w:val="TableGrid"/>
        <w:tblW w:w="0" w:type="auto"/>
        <w:tblInd w:w="770" w:type="dxa"/>
        <w:tblLayout w:type="fixed"/>
        <w:tblLook w:val="04A0" w:firstRow="1" w:lastRow="0" w:firstColumn="1" w:lastColumn="0" w:noHBand="0" w:noVBand="1"/>
      </w:tblPr>
      <w:tblGrid>
        <w:gridCol w:w="2340"/>
        <w:gridCol w:w="1372"/>
        <w:gridCol w:w="1373"/>
        <w:gridCol w:w="1372"/>
        <w:gridCol w:w="1373"/>
      </w:tblGrid>
      <w:tr w:rsidR="00132B83" w:rsidTr="00CA169C">
        <w:trPr>
          <w:trHeight w:val="276"/>
        </w:trPr>
        <w:tc>
          <w:tcPr>
            <w:tcW w:w="2340" w:type="dxa"/>
          </w:tcPr>
          <w:p w:rsidR="00132B83" w:rsidRPr="002B7FD9" w:rsidRDefault="00132B83" w:rsidP="00132B83">
            <w:pPr>
              <w:jc w:val="center"/>
              <w:rPr>
                <w:b/>
              </w:rPr>
            </w:pPr>
          </w:p>
        </w:tc>
        <w:tc>
          <w:tcPr>
            <w:tcW w:w="1372" w:type="dxa"/>
          </w:tcPr>
          <w:p w:rsidR="00132B83" w:rsidRPr="002B7FD9" w:rsidRDefault="00132B83" w:rsidP="004F5460">
            <w:pPr>
              <w:jc w:val="center"/>
              <w:rPr>
                <w:b/>
              </w:rPr>
            </w:pPr>
            <w:r>
              <w:rPr>
                <w:b/>
              </w:rPr>
              <w:t>20</w:t>
            </w:r>
            <w:r w:rsidR="004F5460">
              <w:rPr>
                <w:b/>
              </w:rPr>
              <w:t>12</w:t>
            </w:r>
          </w:p>
        </w:tc>
        <w:tc>
          <w:tcPr>
            <w:tcW w:w="1373" w:type="dxa"/>
          </w:tcPr>
          <w:p w:rsidR="00132B83" w:rsidRPr="002B7FD9" w:rsidRDefault="00132B83" w:rsidP="004F5460">
            <w:pPr>
              <w:jc w:val="center"/>
              <w:rPr>
                <w:b/>
              </w:rPr>
            </w:pPr>
            <w:r>
              <w:rPr>
                <w:b/>
              </w:rPr>
              <w:t>20</w:t>
            </w:r>
            <w:r w:rsidR="004F5460">
              <w:rPr>
                <w:b/>
              </w:rPr>
              <w:t>11</w:t>
            </w:r>
          </w:p>
        </w:tc>
        <w:tc>
          <w:tcPr>
            <w:tcW w:w="1372" w:type="dxa"/>
          </w:tcPr>
          <w:p w:rsidR="00132B83" w:rsidRPr="002B7FD9" w:rsidRDefault="00132B83" w:rsidP="004F5460">
            <w:pPr>
              <w:jc w:val="center"/>
              <w:rPr>
                <w:b/>
              </w:rPr>
            </w:pPr>
            <w:r>
              <w:rPr>
                <w:b/>
              </w:rPr>
              <w:t>20</w:t>
            </w:r>
            <w:r w:rsidR="004F5460">
              <w:rPr>
                <w:b/>
              </w:rPr>
              <w:t>10</w:t>
            </w:r>
          </w:p>
        </w:tc>
        <w:tc>
          <w:tcPr>
            <w:tcW w:w="1373" w:type="dxa"/>
          </w:tcPr>
          <w:p w:rsidR="00132B83" w:rsidRPr="002B7FD9" w:rsidRDefault="004F5460" w:rsidP="00132B83">
            <w:pPr>
              <w:jc w:val="center"/>
              <w:rPr>
                <w:b/>
              </w:rPr>
            </w:pPr>
            <w:r>
              <w:rPr>
                <w:b/>
              </w:rPr>
              <w:t>2009</w:t>
            </w:r>
          </w:p>
        </w:tc>
      </w:tr>
      <w:tr w:rsidR="00132B83" w:rsidTr="00CA169C">
        <w:trPr>
          <w:trHeight w:val="276"/>
        </w:trPr>
        <w:tc>
          <w:tcPr>
            <w:tcW w:w="2340" w:type="dxa"/>
          </w:tcPr>
          <w:p w:rsidR="00132B83" w:rsidRDefault="00132B83" w:rsidP="00132B83">
            <w:r>
              <w:t>Buy Down Expense</w:t>
            </w:r>
          </w:p>
        </w:tc>
        <w:tc>
          <w:tcPr>
            <w:tcW w:w="1372" w:type="dxa"/>
          </w:tcPr>
          <w:p w:rsidR="00132B83" w:rsidRDefault="007F62DE" w:rsidP="00132B83">
            <w:pPr>
              <w:jc w:val="right"/>
            </w:pPr>
            <w:r>
              <w:t>$</w:t>
            </w:r>
            <w:r w:rsidR="000745C3">
              <w:t>0</w:t>
            </w:r>
          </w:p>
        </w:tc>
        <w:tc>
          <w:tcPr>
            <w:tcW w:w="1373" w:type="dxa"/>
          </w:tcPr>
          <w:p w:rsidR="00132B83" w:rsidRDefault="007F62DE" w:rsidP="00132B83">
            <w:pPr>
              <w:jc w:val="right"/>
            </w:pPr>
            <w:r>
              <w:t>$</w:t>
            </w:r>
            <w:r w:rsidR="000745C3">
              <w:t>0</w:t>
            </w:r>
          </w:p>
        </w:tc>
        <w:tc>
          <w:tcPr>
            <w:tcW w:w="1372" w:type="dxa"/>
          </w:tcPr>
          <w:p w:rsidR="00132B83" w:rsidRDefault="007F62DE" w:rsidP="00132B83">
            <w:pPr>
              <w:jc w:val="right"/>
            </w:pPr>
            <w:r>
              <w:t>$</w:t>
            </w:r>
            <w:r w:rsidR="000745C3">
              <w:t>38</w:t>
            </w:r>
          </w:p>
        </w:tc>
        <w:tc>
          <w:tcPr>
            <w:tcW w:w="1373" w:type="dxa"/>
          </w:tcPr>
          <w:p w:rsidR="00132B83" w:rsidRDefault="007F62DE" w:rsidP="00132B83">
            <w:pPr>
              <w:jc w:val="right"/>
            </w:pPr>
            <w:r>
              <w:t>$</w:t>
            </w:r>
            <w:r w:rsidR="000745C3">
              <w:t>1,408</w:t>
            </w:r>
          </w:p>
        </w:tc>
      </w:tr>
      <w:tr w:rsidR="00132B83" w:rsidTr="00CA169C">
        <w:trPr>
          <w:trHeight w:val="276"/>
        </w:trPr>
        <w:tc>
          <w:tcPr>
            <w:tcW w:w="2340" w:type="dxa"/>
          </w:tcPr>
          <w:p w:rsidR="00132B83" w:rsidRDefault="00132B83" w:rsidP="00132B83">
            <w:r>
              <w:t>Interest Earned</w:t>
            </w:r>
          </w:p>
        </w:tc>
        <w:tc>
          <w:tcPr>
            <w:tcW w:w="1372" w:type="dxa"/>
          </w:tcPr>
          <w:p w:rsidR="00132B83" w:rsidRDefault="007F62DE" w:rsidP="00132B83">
            <w:pPr>
              <w:jc w:val="right"/>
            </w:pPr>
            <w:r>
              <w:t>$</w:t>
            </w:r>
            <w:r w:rsidR="00553AE2">
              <w:t>219</w:t>
            </w:r>
          </w:p>
        </w:tc>
        <w:tc>
          <w:tcPr>
            <w:tcW w:w="1373" w:type="dxa"/>
          </w:tcPr>
          <w:p w:rsidR="00132B83" w:rsidRDefault="007F62DE" w:rsidP="00132B83">
            <w:pPr>
              <w:jc w:val="right"/>
            </w:pPr>
            <w:r>
              <w:t>$</w:t>
            </w:r>
            <w:r w:rsidR="00553AE2">
              <w:t>425</w:t>
            </w:r>
          </w:p>
        </w:tc>
        <w:tc>
          <w:tcPr>
            <w:tcW w:w="1372" w:type="dxa"/>
          </w:tcPr>
          <w:p w:rsidR="00132B83" w:rsidRDefault="007F62DE" w:rsidP="00132B83">
            <w:pPr>
              <w:jc w:val="right"/>
            </w:pPr>
            <w:r>
              <w:t>$</w:t>
            </w:r>
            <w:r w:rsidR="00553AE2">
              <w:t>2,571</w:t>
            </w:r>
          </w:p>
        </w:tc>
        <w:tc>
          <w:tcPr>
            <w:tcW w:w="1373" w:type="dxa"/>
          </w:tcPr>
          <w:p w:rsidR="00132B83" w:rsidRDefault="007F62DE" w:rsidP="00132B83">
            <w:pPr>
              <w:jc w:val="right"/>
            </w:pPr>
            <w:r>
              <w:t>$</w:t>
            </w:r>
            <w:r w:rsidR="00553AE2">
              <w:t>2,736</w:t>
            </w:r>
          </w:p>
        </w:tc>
      </w:tr>
    </w:tbl>
    <w:p w:rsidR="00132B83" w:rsidRDefault="00132B83" w:rsidP="00EF2426"/>
    <w:p w:rsidR="00553AE2" w:rsidRDefault="00553AE2" w:rsidP="00EF2426"/>
    <w:p w:rsidR="00132B83" w:rsidRPr="00CA169C" w:rsidRDefault="002809D6" w:rsidP="00CA169C">
      <w:pPr>
        <w:jc w:val="center"/>
        <w:rPr>
          <w:b/>
          <w:sz w:val="28"/>
          <w:szCs w:val="28"/>
        </w:rPr>
      </w:pPr>
      <w:r w:rsidRPr="00CA169C">
        <w:rPr>
          <w:b/>
          <w:sz w:val="28"/>
          <w:szCs w:val="28"/>
        </w:rPr>
        <w:t>Balance of all Guaranty loans compared to balance of investment accounts</w:t>
      </w:r>
      <w:r w:rsidR="00CA169C" w:rsidRPr="00CA169C">
        <w:rPr>
          <w:b/>
          <w:sz w:val="28"/>
          <w:szCs w:val="28"/>
        </w:rPr>
        <w:t xml:space="preserve"> </w:t>
      </w:r>
      <w:r w:rsidR="00482FCE">
        <w:rPr>
          <w:b/>
          <w:sz w:val="28"/>
          <w:szCs w:val="28"/>
        </w:rPr>
        <w:t>–</w:t>
      </w:r>
      <w:r w:rsidR="00CA169C" w:rsidRPr="00CA169C">
        <w:rPr>
          <w:b/>
          <w:sz w:val="28"/>
          <w:szCs w:val="28"/>
        </w:rPr>
        <w:t xml:space="preserve"> AFP</w:t>
      </w:r>
      <w:r w:rsidR="00482FCE">
        <w:rPr>
          <w:b/>
          <w:sz w:val="28"/>
          <w:szCs w:val="28"/>
        </w:rPr>
        <w:t>**</w:t>
      </w:r>
    </w:p>
    <w:p w:rsidR="002809D6" w:rsidRDefault="002809D6" w:rsidP="00EF2426"/>
    <w:tbl>
      <w:tblPr>
        <w:tblStyle w:val="TableGrid"/>
        <w:tblW w:w="7202" w:type="dxa"/>
        <w:tblInd w:w="1085" w:type="dxa"/>
        <w:tblLayout w:type="fixed"/>
        <w:tblLook w:val="04A0" w:firstRow="1" w:lastRow="0" w:firstColumn="1" w:lastColumn="0" w:noHBand="0" w:noVBand="1"/>
      </w:tblPr>
      <w:tblGrid>
        <w:gridCol w:w="1946"/>
        <w:gridCol w:w="1314"/>
        <w:gridCol w:w="1314"/>
        <w:gridCol w:w="1314"/>
        <w:gridCol w:w="1314"/>
      </w:tblGrid>
      <w:tr w:rsidR="004562C2" w:rsidTr="004562C2">
        <w:trPr>
          <w:trHeight w:val="276"/>
        </w:trPr>
        <w:tc>
          <w:tcPr>
            <w:tcW w:w="1946" w:type="dxa"/>
          </w:tcPr>
          <w:p w:rsidR="004562C2" w:rsidRPr="002B7FD9" w:rsidRDefault="004562C2" w:rsidP="002809D6">
            <w:pPr>
              <w:jc w:val="center"/>
              <w:rPr>
                <w:b/>
              </w:rPr>
            </w:pPr>
          </w:p>
        </w:tc>
        <w:tc>
          <w:tcPr>
            <w:tcW w:w="1314" w:type="dxa"/>
          </w:tcPr>
          <w:p w:rsidR="004562C2" w:rsidRPr="002B7FD9" w:rsidRDefault="004562C2" w:rsidP="002809D6">
            <w:pPr>
              <w:jc w:val="center"/>
              <w:rPr>
                <w:b/>
              </w:rPr>
            </w:pPr>
            <w:r>
              <w:rPr>
                <w:b/>
              </w:rPr>
              <w:t>2012</w:t>
            </w:r>
          </w:p>
        </w:tc>
        <w:tc>
          <w:tcPr>
            <w:tcW w:w="1314" w:type="dxa"/>
          </w:tcPr>
          <w:p w:rsidR="004562C2" w:rsidRPr="002B7FD9" w:rsidRDefault="004562C2" w:rsidP="002809D6">
            <w:pPr>
              <w:jc w:val="center"/>
              <w:rPr>
                <w:b/>
              </w:rPr>
            </w:pPr>
            <w:r>
              <w:rPr>
                <w:b/>
              </w:rPr>
              <w:t>2011</w:t>
            </w:r>
          </w:p>
        </w:tc>
        <w:tc>
          <w:tcPr>
            <w:tcW w:w="1314" w:type="dxa"/>
          </w:tcPr>
          <w:p w:rsidR="004562C2" w:rsidRPr="002B7FD9" w:rsidRDefault="004562C2" w:rsidP="002809D6">
            <w:pPr>
              <w:jc w:val="center"/>
              <w:rPr>
                <w:b/>
              </w:rPr>
            </w:pPr>
            <w:r>
              <w:rPr>
                <w:b/>
              </w:rPr>
              <w:t>2010</w:t>
            </w:r>
          </w:p>
        </w:tc>
        <w:tc>
          <w:tcPr>
            <w:tcW w:w="1314" w:type="dxa"/>
          </w:tcPr>
          <w:p w:rsidR="004562C2" w:rsidRPr="002B7FD9" w:rsidRDefault="004562C2" w:rsidP="002809D6">
            <w:pPr>
              <w:jc w:val="center"/>
              <w:rPr>
                <w:b/>
              </w:rPr>
            </w:pPr>
            <w:r>
              <w:rPr>
                <w:b/>
              </w:rPr>
              <w:t>2009</w:t>
            </w:r>
          </w:p>
        </w:tc>
      </w:tr>
      <w:tr w:rsidR="004562C2" w:rsidTr="004562C2">
        <w:trPr>
          <w:trHeight w:val="276"/>
        </w:trPr>
        <w:tc>
          <w:tcPr>
            <w:tcW w:w="1946" w:type="dxa"/>
          </w:tcPr>
          <w:p w:rsidR="004562C2" w:rsidRDefault="004562C2" w:rsidP="002809D6">
            <w:pPr>
              <w:jc w:val="right"/>
            </w:pPr>
            <w:r>
              <w:t>Guaranty Balance</w:t>
            </w:r>
          </w:p>
        </w:tc>
        <w:tc>
          <w:tcPr>
            <w:tcW w:w="1314" w:type="dxa"/>
          </w:tcPr>
          <w:p w:rsidR="004562C2" w:rsidRDefault="007F62DE" w:rsidP="002809D6">
            <w:pPr>
              <w:jc w:val="right"/>
            </w:pPr>
            <w:r>
              <w:t>$</w:t>
            </w:r>
            <w:r w:rsidR="00553AE2">
              <w:t>258,227</w:t>
            </w:r>
          </w:p>
        </w:tc>
        <w:tc>
          <w:tcPr>
            <w:tcW w:w="1314" w:type="dxa"/>
          </w:tcPr>
          <w:p w:rsidR="004562C2" w:rsidRDefault="00764E04" w:rsidP="002809D6">
            <w:pPr>
              <w:jc w:val="right"/>
            </w:pPr>
            <w:r>
              <w:t>$</w:t>
            </w:r>
            <w:r w:rsidR="002B3621">
              <w:t>232</w:t>
            </w:r>
            <w:r>
              <w:t>,</w:t>
            </w:r>
            <w:r w:rsidR="002B3621">
              <w:t>820</w:t>
            </w:r>
          </w:p>
        </w:tc>
        <w:tc>
          <w:tcPr>
            <w:tcW w:w="1314" w:type="dxa"/>
          </w:tcPr>
          <w:p w:rsidR="004562C2" w:rsidRDefault="00764E04" w:rsidP="002809D6">
            <w:pPr>
              <w:jc w:val="right"/>
            </w:pPr>
            <w:r>
              <w:t>$</w:t>
            </w:r>
            <w:r w:rsidR="002B3621">
              <w:t>246</w:t>
            </w:r>
            <w:r>
              <w:t>,</w:t>
            </w:r>
            <w:r w:rsidR="002B3621">
              <w:t>697</w:t>
            </w:r>
          </w:p>
        </w:tc>
        <w:tc>
          <w:tcPr>
            <w:tcW w:w="1314" w:type="dxa"/>
          </w:tcPr>
          <w:p w:rsidR="004562C2" w:rsidRDefault="00764E04" w:rsidP="002809D6">
            <w:pPr>
              <w:jc w:val="right"/>
            </w:pPr>
            <w:r>
              <w:t>$</w:t>
            </w:r>
            <w:r w:rsidR="002B3621">
              <w:t>237</w:t>
            </w:r>
            <w:r>
              <w:t>,</w:t>
            </w:r>
            <w:r w:rsidR="002B3621">
              <w:t>564</w:t>
            </w:r>
          </w:p>
        </w:tc>
      </w:tr>
      <w:tr w:rsidR="004562C2" w:rsidTr="004562C2">
        <w:trPr>
          <w:trHeight w:val="276"/>
        </w:trPr>
        <w:tc>
          <w:tcPr>
            <w:tcW w:w="1946" w:type="dxa"/>
          </w:tcPr>
          <w:p w:rsidR="004562C2" w:rsidRDefault="004562C2" w:rsidP="002809D6">
            <w:pPr>
              <w:jc w:val="right"/>
            </w:pPr>
            <w:r>
              <w:t>Account Balance</w:t>
            </w:r>
          </w:p>
        </w:tc>
        <w:tc>
          <w:tcPr>
            <w:tcW w:w="1314" w:type="dxa"/>
          </w:tcPr>
          <w:p w:rsidR="004562C2" w:rsidRDefault="007F62DE" w:rsidP="002809D6">
            <w:pPr>
              <w:jc w:val="right"/>
            </w:pPr>
            <w:r>
              <w:t>$</w:t>
            </w:r>
            <w:r w:rsidR="00553AE2">
              <w:t>1,390,295</w:t>
            </w:r>
          </w:p>
        </w:tc>
        <w:tc>
          <w:tcPr>
            <w:tcW w:w="1314" w:type="dxa"/>
          </w:tcPr>
          <w:p w:rsidR="004562C2" w:rsidRDefault="007F62DE" w:rsidP="002809D6">
            <w:pPr>
              <w:jc w:val="right"/>
            </w:pPr>
            <w:r>
              <w:t>$</w:t>
            </w:r>
            <w:r w:rsidR="00553AE2">
              <w:t>1,433,148</w:t>
            </w:r>
          </w:p>
        </w:tc>
        <w:tc>
          <w:tcPr>
            <w:tcW w:w="1314" w:type="dxa"/>
          </w:tcPr>
          <w:p w:rsidR="004562C2" w:rsidRDefault="007F62DE" w:rsidP="002809D6">
            <w:pPr>
              <w:jc w:val="right"/>
            </w:pPr>
            <w:r>
              <w:t>$</w:t>
            </w:r>
            <w:r w:rsidR="00553AE2">
              <w:t>1,485,348</w:t>
            </w:r>
          </w:p>
        </w:tc>
        <w:tc>
          <w:tcPr>
            <w:tcW w:w="1314" w:type="dxa"/>
          </w:tcPr>
          <w:p w:rsidR="004562C2" w:rsidRDefault="007F62DE" w:rsidP="002809D6">
            <w:pPr>
              <w:jc w:val="right"/>
            </w:pPr>
            <w:r>
              <w:t>$</w:t>
            </w:r>
            <w:r w:rsidR="00553AE2">
              <w:t>1,517,920</w:t>
            </w:r>
          </w:p>
        </w:tc>
      </w:tr>
    </w:tbl>
    <w:p w:rsidR="002809D6" w:rsidRDefault="002809D6" w:rsidP="00EF2426"/>
    <w:p w:rsidR="004562C2" w:rsidRDefault="002809D6" w:rsidP="00CA169C">
      <w:pPr>
        <w:jc w:val="center"/>
        <w:rPr>
          <w:b/>
          <w:sz w:val="28"/>
          <w:szCs w:val="28"/>
        </w:rPr>
      </w:pPr>
      <w:r w:rsidRPr="00CA169C">
        <w:rPr>
          <w:b/>
          <w:sz w:val="28"/>
          <w:szCs w:val="28"/>
        </w:rPr>
        <w:t>Balance of all Guaranty loans compared to balance of investment accounts</w:t>
      </w:r>
      <w:r w:rsidR="00CA169C" w:rsidRPr="00CA169C">
        <w:rPr>
          <w:b/>
          <w:sz w:val="28"/>
          <w:szCs w:val="28"/>
        </w:rPr>
        <w:t xml:space="preserve"> </w:t>
      </w:r>
      <w:r w:rsidR="004562C2">
        <w:rPr>
          <w:b/>
          <w:sz w:val="28"/>
          <w:szCs w:val="28"/>
        </w:rPr>
        <w:t>–</w:t>
      </w:r>
      <w:r w:rsidR="00CA169C" w:rsidRPr="00CA169C">
        <w:rPr>
          <w:b/>
          <w:sz w:val="28"/>
          <w:szCs w:val="28"/>
        </w:rPr>
        <w:t xml:space="preserve"> ATF</w:t>
      </w:r>
      <w:r w:rsidR="00482FCE">
        <w:rPr>
          <w:b/>
          <w:sz w:val="28"/>
          <w:szCs w:val="28"/>
        </w:rPr>
        <w:t xml:space="preserve">** </w:t>
      </w:r>
    </w:p>
    <w:p w:rsidR="00482FCE" w:rsidRPr="00CA169C" w:rsidRDefault="00482FCE" w:rsidP="00CA169C">
      <w:pPr>
        <w:jc w:val="center"/>
        <w:rPr>
          <w:b/>
          <w:sz w:val="28"/>
          <w:szCs w:val="28"/>
        </w:rPr>
      </w:pPr>
    </w:p>
    <w:tbl>
      <w:tblPr>
        <w:tblStyle w:val="TableGrid"/>
        <w:tblW w:w="7202" w:type="dxa"/>
        <w:tblInd w:w="1085" w:type="dxa"/>
        <w:tblLayout w:type="fixed"/>
        <w:tblLook w:val="04A0" w:firstRow="1" w:lastRow="0" w:firstColumn="1" w:lastColumn="0" w:noHBand="0" w:noVBand="1"/>
      </w:tblPr>
      <w:tblGrid>
        <w:gridCol w:w="1946"/>
        <w:gridCol w:w="1314"/>
        <w:gridCol w:w="1314"/>
        <w:gridCol w:w="1314"/>
        <w:gridCol w:w="1314"/>
      </w:tblGrid>
      <w:tr w:rsidR="004562C2" w:rsidTr="004562C2">
        <w:trPr>
          <w:trHeight w:val="276"/>
        </w:trPr>
        <w:tc>
          <w:tcPr>
            <w:tcW w:w="1946" w:type="dxa"/>
          </w:tcPr>
          <w:p w:rsidR="004562C2" w:rsidRPr="002B7FD9" w:rsidRDefault="004562C2" w:rsidP="004562C2">
            <w:pPr>
              <w:jc w:val="center"/>
              <w:rPr>
                <w:b/>
              </w:rPr>
            </w:pPr>
          </w:p>
        </w:tc>
        <w:tc>
          <w:tcPr>
            <w:tcW w:w="1314" w:type="dxa"/>
          </w:tcPr>
          <w:p w:rsidR="004562C2" w:rsidRPr="002B7FD9" w:rsidRDefault="004562C2" w:rsidP="004562C2">
            <w:pPr>
              <w:jc w:val="center"/>
              <w:rPr>
                <w:b/>
              </w:rPr>
            </w:pPr>
            <w:r>
              <w:rPr>
                <w:b/>
              </w:rPr>
              <w:t>2012</w:t>
            </w:r>
          </w:p>
        </w:tc>
        <w:tc>
          <w:tcPr>
            <w:tcW w:w="1314" w:type="dxa"/>
          </w:tcPr>
          <w:p w:rsidR="004562C2" w:rsidRPr="002B7FD9" w:rsidRDefault="004562C2" w:rsidP="004562C2">
            <w:pPr>
              <w:jc w:val="center"/>
              <w:rPr>
                <w:b/>
              </w:rPr>
            </w:pPr>
            <w:r>
              <w:rPr>
                <w:b/>
              </w:rPr>
              <w:t>2011</w:t>
            </w:r>
          </w:p>
        </w:tc>
        <w:tc>
          <w:tcPr>
            <w:tcW w:w="1314" w:type="dxa"/>
          </w:tcPr>
          <w:p w:rsidR="004562C2" w:rsidRPr="002B7FD9" w:rsidRDefault="004562C2" w:rsidP="004562C2">
            <w:pPr>
              <w:jc w:val="center"/>
              <w:rPr>
                <w:b/>
              </w:rPr>
            </w:pPr>
            <w:r>
              <w:rPr>
                <w:b/>
              </w:rPr>
              <w:t>2010</w:t>
            </w:r>
          </w:p>
        </w:tc>
        <w:tc>
          <w:tcPr>
            <w:tcW w:w="1314" w:type="dxa"/>
          </w:tcPr>
          <w:p w:rsidR="004562C2" w:rsidRPr="002B7FD9" w:rsidRDefault="004562C2" w:rsidP="004562C2">
            <w:pPr>
              <w:jc w:val="center"/>
              <w:rPr>
                <w:b/>
              </w:rPr>
            </w:pPr>
            <w:r>
              <w:rPr>
                <w:b/>
              </w:rPr>
              <w:t>2009</w:t>
            </w:r>
          </w:p>
        </w:tc>
      </w:tr>
      <w:tr w:rsidR="004562C2" w:rsidTr="004562C2">
        <w:trPr>
          <w:trHeight w:val="276"/>
        </w:trPr>
        <w:tc>
          <w:tcPr>
            <w:tcW w:w="1946" w:type="dxa"/>
          </w:tcPr>
          <w:p w:rsidR="004562C2" w:rsidRDefault="004562C2" w:rsidP="004562C2">
            <w:pPr>
              <w:jc w:val="right"/>
            </w:pPr>
            <w:r>
              <w:t>Guaranty Balance</w:t>
            </w:r>
          </w:p>
        </w:tc>
        <w:tc>
          <w:tcPr>
            <w:tcW w:w="1314" w:type="dxa"/>
          </w:tcPr>
          <w:p w:rsidR="004562C2" w:rsidRDefault="007F62DE" w:rsidP="004562C2">
            <w:pPr>
              <w:jc w:val="right"/>
            </w:pPr>
            <w:r>
              <w:t>$</w:t>
            </w:r>
            <w:r w:rsidR="00553AE2">
              <w:t>37,188</w:t>
            </w:r>
          </w:p>
        </w:tc>
        <w:tc>
          <w:tcPr>
            <w:tcW w:w="1314" w:type="dxa"/>
          </w:tcPr>
          <w:p w:rsidR="004562C2" w:rsidRDefault="00764E04" w:rsidP="004562C2">
            <w:pPr>
              <w:jc w:val="right"/>
            </w:pPr>
            <w:r>
              <w:t>$</w:t>
            </w:r>
            <w:r w:rsidR="002B3621">
              <w:t>36</w:t>
            </w:r>
            <w:r>
              <w:t>,</w:t>
            </w:r>
            <w:r w:rsidR="002B3621">
              <w:t>363</w:t>
            </w:r>
          </w:p>
        </w:tc>
        <w:tc>
          <w:tcPr>
            <w:tcW w:w="1314" w:type="dxa"/>
          </w:tcPr>
          <w:p w:rsidR="004562C2" w:rsidRDefault="00764E04" w:rsidP="004562C2">
            <w:pPr>
              <w:jc w:val="right"/>
            </w:pPr>
            <w:r>
              <w:t>$</w:t>
            </w:r>
            <w:r w:rsidR="002B3621">
              <w:t>57</w:t>
            </w:r>
            <w:r>
              <w:t>,</w:t>
            </w:r>
            <w:r w:rsidR="002B3621">
              <w:t>986</w:t>
            </w:r>
          </w:p>
        </w:tc>
        <w:tc>
          <w:tcPr>
            <w:tcW w:w="1314" w:type="dxa"/>
          </w:tcPr>
          <w:p w:rsidR="004562C2" w:rsidRDefault="00764E04" w:rsidP="004562C2">
            <w:pPr>
              <w:jc w:val="right"/>
            </w:pPr>
            <w:r>
              <w:t>$</w:t>
            </w:r>
            <w:r w:rsidR="002B3621">
              <w:t>82</w:t>
            </w:r>
            <w:r>
              <w:t>,</w:t>
            </w:r>
            <w:r w:rsidR="002B3621">
              <w:t>303</w:t>
            </w:r>
          </w:p>
        </w:tc>
      </w:tr>
      <w:tr w:rsidR="004562C2" w:rsidTr="004562C2">
        <w:trPr>
          <w:trHeight w:val="276"/>
        </w:trPr>
        <w:tc>
          <w:tcPr>
            <w:tcW w:w="1946" w:type="dxa"/>
          </w:tcPr>
          <w:p w:rsidR="004562C2" w:rsidRDefault="004562C2" w:rsidP="004562C2">
            <w:pPr>
              <w:jc w:val="right"/>
            </w:pPr>
            <w:r>
              <w:t>Account Balance</w:t>
            </w:r>
          </w:p>
        </w:tc>
        <w:tc>
          <w:tcPr>
            <w:tcW w:w="1314" w:type="dxa"/>
          </w:tcPr>
          <w:p w:rsidR="004562C2" w:rsidRDefault="007F62DE" w:rsidP="004562C2">
            <w:pPr>
              <w:jc w:val="right"/>
            </w:pPr>
            <w:r>
              <w:t>$</w:t>
            </w:r>
            <w:r w:rsidR="00553AE2">
              <w:t>126,145</w:t>
            </w:r>
          </w:p>
        </w:tc>
        <w:tc>
          <w:tcPr>
            <w:tcW w:w="1314" w:type="dxa"/>
          </w:tcPr>
          <w:p w:rsidR="004562C2" w:rsidRDefault="007F62DE" w:rsidP="004562C2">
            <w:pPr>
              <w:jc w:val="right"/>
            </w:pPr>
            <w:r>
              <w:t>$</w:t>
            </w:r>
            <w:r w:rsidR="00553AE2">
              <w:t>168,907</w:t>
            </w:r>
          </w:p>
        </w:tc>
        <w:tc>
          <w:tcPr>
            <w:tcW w:w="1314" w:type="dxa"/>
          </w:tcPr>
          <w:p w:rsidR="004562C2" w:rsidRDefault="007F62DE" w:rsidP="004562C2">
            <w:pPr>
              <w:jc w:val="right"/>
            </w:pPr>
            <w:r>
              <w:t>$</w:t>
            </w:r>
            <w:r w:rsidR="00553AE2">
              <w:t>174,686</w:t>
            </w:r>
          </w:p>
        </w:tc>
        <w:tc>
          <w:tcPr>
            <w:tcW w:w="1314" w:type="dxa"/>
          </w:tcPr>
          <w:p w:rsidR="004562C2" w:rsidRDefault="007F62DE" w:rsidP="004562C2">
            <w:pPr>
              <w:jc w:val="right"/>
            </w:pPr>
            <w:r>
              <w:t>$</w:t>
            </w:r>
            <w:r w:rsidR="00553AE2">
              <w:t>176,105</w:t>
            </w:r>
          </w:p>
        </w:tc>
      </w:tr>
    </w:tbl>
    <w:p w:rsidR="002809D6" w:rsidRDefault="002809D6" w:rsidP="00EF2426"/>
    <w:p w:rsidR="002809D6" w:rsidRDefault="002809D6" w:rsidP="00EF2426"/>
    <w:p w:rsidR="002809D6" w:rsidRDefault="00CA169C" w:rsidP="009B3CB9">
      <w:pPr>
        <w:jc w:val="center"/>
        <w:rPr>
          <w:b/>
          <w:sz w:val="28"/>
          <w:szCs w:val="28"/>
        </w:rPr>
      </w:pPr>
      <w:r w:rsidRPr="009B3CB9">
        <w:rPr>
          <w:b/>
          <w:sz w:val="28"/>
          <w:szCs w:val="28"/>
        </w:rPr>
        <w:t>Compare Number of Guaranty Loans to Number of Non-Guaranty</w:t>
      </w:r>
      <w:r w:rsidR="009B3CB9">
        <w:rPr>
          <w:b/>
          <w:sz w:val="28"/>
          <w:szCs w:val="28"/>
        </w:rPr>
        <w:t xml:space="preserve"> - </w:t>
      </w:r>
    </w:p>
    <w:p w:rsidR="009B3CB9" w:rsidRPr="009B3CB9" w:rsidRDefault="009B3CB9" w:rsidP="009B3CB9">
      <w:pPr>
        <w:jc w:val="center"/>
        <w:rPr>
          <w:b/>
          <w:sz w:val="28"/>
          <w:szCs w:val="28"/>
        </w:rPr>
      </w:pPr>
      <w:r>
        <w:rPr>
          <w:b/>
          <w:sz w:val="28"/>
          <w:szCs w:val="28"/>
        </w:rPr>
        <w:t>AFP</w:t>
      </w:r>
      <w:r w:rsidR="00482FCE">
        <w:rPr>
          <w:b/>
          <w:sz w:val="28"/>
          <w:szCs w:val="28"/>
        </w:rPr>
        <w:t>*</w:t>
      </w:r>
    </w:p>
    <w:p w:rsidR="00CA169C" w:rsidRDefault="00CA169C" w:rsidP="00EF2426"/>
    <w:tbl>
      <w:tblPr>
        <w:tblStyle w:val="TableGrid"/>
        <w:tblW w:w="6162" w:type="dxa"/>
        <w:tblInd w:w="1908" w:type="dxa"/>
        <w:tblLayout w:type="fixed"/>
        <w:tblLook w:val="04A0" w:firstRow="1" w:lastRow="0" w:firstColumn="1" w:lastColumn="0" w:noHBand="0" w:noVBand="1"/>
      </w:tblPr>
      <w:tblGrid>
        <w:gridCol w:w="1932"/>
        <w:gridCol w:w="1080"/>
        <w:gridCol w:w="1080"/>
        <w:gridCol w:w="990"/>
        <w:gridCol w:w="1080"/>
      </w:tblGrid>
      <w:tr w:rsidR="004562C2" w:rsidTr="004562C2">
        <w:trPr>
          <w:trHeight w:val="276"/>
        </w:trPr>
        <w:tc>
          <w:tcPr>
            <w:tcW w:w="1932" w:type="dxa"/>
          </w:tcPr>
          <w:p w:rsidR="004562C2" w:rsidRPr="002B7FD9" w:rsidRDefault="004562C2" w:rsidP="009B3CB9">
            <w:pPr>
              <w:rPr>
                <w:b/>
              </w:rPr>
            </w:pPr>
          </w:p>
        </w:tc>
        <w:tc>
          <w:tcPr>
            <w:tcW w:w="1080" w:type="dxa"/>
          </w:tcPr>
          <w:p w:rsidR="004562C2" w:rsidRPr="002B7FD9" w:rsidRDefault="004562C2" w:rsidP="004562C2">
            <w:pPr>
              <w:jc w:val="center"/>
              <w:rPr>
                <w:b/>
              </w:rPr>
            </w:pPr>
            <w:r w:rsidRPr="00482FCE">
              <w:rPr>
                <w:b/>
                <w:highlight w:val="yellow"/>
              </w:rPr>
              <w:t>2012</w:t>
            </w:r>
          </w:p>
        </w:tc>
        <w:tc>
          <w:tcPr>
            <w:tcW w:w="1080" w:type="dxa"/>
          </w:tcPr>
          <w:p w:rsidR="004562C2" w:rsidRPr="002B7FD9" w:rsidRDefault="004562C2" w:rsidP="004562C2">
            <w:pPr>
              <w:jc w:val="center"/>
              <w:rPr>
                <w:b/>
              </w:rPr>
            </w:pPr>
            <w:r w:rsidRPr="002B7FD9">
              <w:rPr>
                <w:b/>
              </w:rPr>
              <w:t>20</w:t>
            </w:r>
            <w:r>
              <w:rPr>
                <w:b/>
              </w:rPr>
              <w:t>11</w:t>
            </w:r>
          </w:p>
        </w:tc>
        <w:tc>
          <w:tcPr>
            <w:tcW w:w="990" w:type="dxa"/>
          </w:tcPr>
          <w:p w:rsidR="004562C2" w:rsidRPr="002B7FD9" w:rsidRDefault="004562C2" w:rsidP="004562C2">
            <w:pPr>
              <w:jc w:val="center"/>
              <w:rPr>
                <w:b/>
              </w:rPr>
            </w:pPr>
            <w:r w:rsidRPr="002B7FD9">
              <w:rPr>
                <w:b/>
              </w:rPr>
              <w:t>20</w:t>
            </w:r>
            <w:r>
              <w:rPr>
                <w:b/>
              </w:rPr>
              <w:t>10</w:t>
            </w:r>
          </w:p>
        </w:tc>
        <w:tc>
          <w:tcPr>
            <w:tcW w:w="1080" w:type="dxa"/>
          </w:tcPr>
          <w:p w:rsidR="004562C2" w:rsidRPr="002B7FD9" w:rsidRDefault="004562C2" w:rsidP="004562C2">
            <w:pPr>
              <w:jc w:val="center"/>
              <w:rPr>
                <w:b/>
              </w:rPr>
            </w:pPr>
            <w:r w:rsidRPr="002B7FD9">
              <w:rPr>
                <w:b/>
              </w:rPr>
              <w:t>20</w:t>
            </w:r>
            <w:r>
              <w:rPr>
                <w:b/>
              </w:rPr>
              <w:t>09</w:t>
            </w:r>
          </w:p>
        </w:tc>
      </w:tr>
      <w:tr w:rsidR="004562C2" w:rsidTr="004562C2">
        <w:trPr>
          <w:trHeight w:val="276"/>
        </w:trPr>
        <w:tc>
          <w:tcPr>
            <w:tcW w:w="1932" w:type="dxa"/>
          </w:tcPr>
          <w:p w:rsidR="004562C2" w:rsidRDefault="004562C2" w:rsidP="009B3CB9">
            <w:r>
              <w:t xml:space="preserve">Guaranty </w:t>
            </w:r>
          </w:p>
        </w:tc>
        <w:tc>
          <w:tcPr>
            <w:tcW w:w="1080" w:type="dxa"/>
          </w:tcPr>
          <w:p w:rsidR="004562C2" w:rsidRDefault="00553AE2" w:rsidP="009B3CB9">
            <w:pPr>
              <w:jc w:val="right"/>
            </w:pPr>
            <w:r>
              <w:t>13</w:t>
            </w:r>
          </w:p>
        </w:tc>
        <w:tc>
          <w:tcPr>
            <w:tcW w:w="1080" w:type="dxa"/>
          </w:tcPr>
          <w:p w:rsidR="004562C2" w:rsidRDefault="002B3621" w:rsidP="009B3CB9">
            <w:pPr>
              <w:jc w:val="right"/>
            </w:pPr>
            <w:r>
              <w:t>18</w:t>
            </w:r>
          </w:p>
        </w:tc>
        <w:tc>
          <w:tcPr>
            <w:tcW w:w="990" w:type="dxa"/>
          </w:tcPr>
          <w:p w:rsidR="004562C2" w:rsidRDefault="002B3621" w:rsidP="009B3CB9">
            <w:pPr>
              <w:jc w:val="right"/>
            </w:pPr>
            <w:r>
              <w:t>17</w:t>
            </w:r>
          </w:p>
        </w:tc>
        <w:tc>
          <w:tcPr>
            <w:tcW w:w="1080" w:type="dxa"/>
          </w:tcPr>
          <w:p w:rsidR="004562C2" w:rsidRDefault="002B3621" w:rsidP="009B3CB9">
            <w:pPr>
              <w:jc w:val="right"/>
            </w:pPr>
            <w:r>
              <w:t>13</w:t>
            </w:r>
          </w:p>
        </w:tc>
      </w:tr>
      <w:tr w:rsidR="004562C2" w:rsidTr="004562C2">
        <w:trPr>
          <w:trHeight w:val="276"/>
        </w:trPr>
        <w:tc>
          <w:tcPr>
            <w:tcW w:w="1932" w:type="dxa"/>
          </w:tcPr>
          <w:p w:rsidR="004562C2" w:rsidRDefault="004562C2" w:rsidP="009B3CB9">
            <w:r>
              <w:t>Non Guaranty</w:t>
            </w:r>
          </w:p>
        </w:tc>
        <w:tc>
          <w:tcPr>
            <w:tcW w:w="1080" w:type="dxa"/>
          </w:tcPr>
          <w:p w:rsidR="004562C2" w:rsidRDefault="00553AE2" w:rsidP="009B3CB9">
            <w:pPr>
              <w:jc w:val="right"/>
            </w:pPr>
            <w:r>
              <w:t>37</w:t>
            </w:r>
          </w:p>
        </w:tc>
        <w:tc>
          <w:tcPr>
            <w:tcW w:w="1080" w:type="dxa"/>
          </w:tcPr>
          <w:p w:rsidR="004562C2" w:rsidRDefault="002B3621" w:rsidP="009B3CB9">
            <w:pPr>
              <w:jc w:val="right"/>
            </w:pPr>
            <w:r>
              <w:t>61</w:t>
            </w:r>
          </w:p>
        </w:tc>
        <w:tc>
          <w:tcPr>
            <w:tcW w:w="990" w:type="dxa"/>
          </w:tcPr>
          <w:p w:rsidR="004562C2" w:rsidRDefault="002B3621" w:rsidP="009B3CB9">
            <w:pPr>
              <w:jc w:val="right"/>
            </w:pPr>
            <w:r>
              <w:t>69</w:t>
            </w:r>
          </w:p>
        </w:tc>
        <w:tc>
          <w:tcPr>
            <w:tcW w:w="1080" w:type="dxa"/>
          </w:tcPr>
          <w:p w:rsidR="004562C2" w:rsidRDefault="002B3621" w:rsidP="009B3CB9">
            <w:pPr>
              <w:jc w:val="right"/>
            </w:pPr>
            <w:r>
              <w:t>60</w:t>
            </w:r>
          </w:p>
        </w:tc>
      </w:tr>
      <w:tr w:rsidR="002B3621" w:rsidTr="004562C2">
        <w:trPr>
          <w:trHeight w:val="276"/>
        </w:trPr>
        <w:tc>
          <w:tcPr>
            <w:tcW w:w="1932" w:type="dxa"/>
          </w:tcPr>
          <w:p w:rsidR="002B3621" w:rsidRDefault="002B3621" w:rsidP="009B3CB9">
            <w:r>
              <w:t>Total</w:t>
            </w:r>
          </w:p>
        </w:tc>
        <w:tc>
          <w:tcPr>
            <w:tcW w:w="1080" w:type="dxa"/>
          </w:tcPr>
          <w:p w:rsidR="002B3621" w:rsidRDefault="00553AE2" w:rsidP="009B3CB9">
            <w:pPr>
              <w:jc w:val="right"/>
            </w:pPr>
            <w:r>
              <w:t>50</w:t>
            </w:r>
          </w:p>
        </w:tc>
        <w:tc>
          <w:tcPr>
            <w:tcW w:w="1080" w:type="dxa"/>
          </w:tcPr>
          <w:p w:rsidR="002B3621" w:rsidRDefault="002B3621" w:rsidP="009B3CB9">
            <w:pPr>
              <w:jc w:val="right"/>
            </w:pPr>
            <w:r>
              <w:t>79</w:t>
            </w:r>
          </w:p>
        </w:tc>
        <w:tc>
          <w:tcPr>
            <w:tcW w:w="990" w:type="dxa"/>
          </w:tcPr>
          <w:p w:rsidR="002B3621" w:rsidRDefault="002B3621" w:rsidP="009B3CB9">
            <w:pPr>
              <w:jc w:val="right"/>
            </w:pPr>
            <w:r>
              <w:t>86</w:t>
            </w:r>
          </w:p>
        </w:tc>
        <w:tc>
          <w:tcPr>
            <w:tcW w:w="1080" w:type="dxa"/>
          </w:tcPr>
          <w:p w:rsidR="002B3621" w:rsidRDefault="002B3621" w:rsidP="009B3CB9">
            <w:pPr>
              <w:jc w:val="right"/>
            </w:pPr>
            <w:r>
              <w:t>73</w:t>
            </w:r>
          </w:p>
        </w:tc>
      </w:tr>
    </w:tbl>
    <w:p w:rsidR="00CA169C" w:rsidRDefault="00CA169C" w:rsidP="00EF2426"/>
    <w:p w:rsidR="002B3621" w:rsidRDefault="002B3621" w:rsidP="002B3621">
      <w:pPr>
        <w:jc w:val="center"/>
        <w:rPr>
          <w:b/>
          <w:sz w:val="28"/>
          <w:szCs w:val="28"/>
        </w:rPr>
      </w:pPr>
      <w:r w:rsidRPr="009B3CB9">
        <w:rPr>
          <w:b/>
          <w:sz w:val="28"/>
          <w:szCs w:val="28"/>
        </w:rPr>
        <w:t>Compare Number of Guaranty Loans to Number of Non-Guaranty</w:t>
      </w:r>
      <w:r>
        <w:rPr>
          <w:b/>
          <w:sz w:val="28"/>
          <w:szCs w:val="28"/>
        </w:rPr>
        <w:t xml:space="preserve"> - </w:t>
      </w:r>
    </w:p>
    <w:p w:rsidR="002B3621" w:rsidRPr="009B3CB9" w:rsidRDefault="002B3621" w:rsidP="002B3621">
      <w:pPr>
        <w:jc w:val="center"/>
        <w:rPr>
          <w:b/>
          <w:sz w:val="28"/>
          <w:szCs w:val="28"/>
        </w:rPr>
      </w:pPr>
      <w:r>
        <w:rPr>
          <w:b/>
          <w:sz w:val="28"/>
          <w:szCs w:val="28"/>
        </w:rPr>
        <w:t>A</w:t>
      </w:r>
      <w:r w:rsidR="00553AE2">
        <w:rPr>
          <w:b/>
          <w:sz w:val="28"/>
          <w:szCs w:val="28"/>
        </w:rPr>
        <w:t>T</w:t>
      </w:r>
      <w:r>
        <w:rPr>
          <w:b/>
          <w:sz w:val="28"/>
          <w:szCs w:val="28"/>
        </w:rPr>
        <w:t>F</w:t>
      </w:r>
      <w:r w:rsidR="00482FCE">
        <w:rPr>
          <w:b/>
          <w:sz w:val="28"/>
          <w:szCs w:val="28"/>
        </w:rPr>
        <w:t>*</w:t>
      </w:r>
    </w:p>
    <w:p w:rsidR="002B3621" w:rsidRDefault="002B3621" w:rsidP="002B3621"/>
    <w:tbl>
      <w:tblPr>
        <w:tblStyle w:val="TableGrid"/>
        <w:tblW w:w="6162" w:type="dxa"/>
        <w:tblInd w:w="1908" w:type="dxa"/>
        <w:tblLayout w:type="fixed"/>
        <w:tblLook w:val="04A0" w:firstRow="1" w:lastRow="0" w:firstColumn="1" w:lastColumn="0" w:noHBand="0" w:noVBand="1"/>
      </w:tblPr>
      <w:tblGrid>
        <w:gridCol w:w="1932"/>
        <w:gridCol w:w="1080"/>
        <w:gridCol w:w="1080"/>
        <w:gridCol w:w="990"/>
        <w:gridCol w:w="1080"/>
      </w:tblGrid>
      <w:tr w:rsidR="002B3621" w:rsidTr="00090190">
        <w:trPr>
          <w:trHeight w:val="276"/>
        </w:trPr>
        <w:tc>
          <w:tcPr>
            <w:tcW w:w="1932" w:type="dxa"/>
          </w:tcPr>
          <w:p w:rsidR="002B3621" w:rsidRPr="002B7FD9" w:rsidRDefault="002B3621" w:rsidP="00090190">
            <w:pPr>
              <w:rPr>
                <w:b/>
              </w:rPr>
            </w:pPr>
          </w:p>
        </w:tc>
        <w:tc>
          <w:tcPr>
            <w:tcW w:w="1080" w:type="dxa"/>
          </w:tcPr>
          <w:p w:rsidR="002B3621" w:rsidRPr="002B7FD9" w:rsidRDefault="002B3621" w:rsidP="00090190">
            <w:pPr>
              <w:jc w:val="center"/>
              <w:rPr>
                <w:b/>
              </w:rPr>
            </w:pPr>
            <w:r w:rsidRPr="002B7FD9">
              <w:rPr>
                <w:b/>
              </w:rPr>
              <w:t>20</w:t>
            </w:r>
            <w:r>
              <w:rPr>
                <w:b/>
              </w:rPr>
              <w:t>12</w:t>
            </w:r>
          </w:p>
        </w:tc>
        <w:tc>
          <w:tcPr>
            <w:tcW w:w="1080" w:type="dxa"/>
          </w:tcPr>
          <w:p w:rsidR="002B3621" w:rsidRPr="002B7FD9" w:rsidRDefault="002B3621" w:rsidP="00090190">
            <w:pPr>
              <w:jc w:val="center"/>
              <w:rPr>
                <w:b/>
              </w:rPr>
            </w:pPr>
            <w:r w:rsidRPr="002B7FD9">
              <w:rPr>
                <w:b/>
              </w:rPr>
              <w:t>20</w:t>
            </w:r>
            <w:r>
              <w:rPr>
                <w:b/>
              </w:rPr>
              <w:t>11</w:t>
            </w:r>
          </w:p>
        </w:tc>
        <w:tc>
          <w:tcPr>
            <w:tcW w:w="990" w:type="dxa"/>
          </w:tcPr>
          <w:p w:rsidR="002B3621" w:rsidRPr="002B7FD9" w:rsidRDefault="002B3621" w:rsidP="00090190">
            <w:pPr>
              <w:jc w:val="center"/>
              <w:rPr>
                <w:b/>
              </w:rPr>
            </w:pPr>
            <w:r w:rsidRPr="002B7FD9">
              <w:rPr>
                <w:b/>
              </w:rPr>
              <w:t>20</w:t>
            </w:r>
            <w:r>
              <w:rPr>
                <w:b/>
              </w:rPr>
              <w:t>10</w:t>
            </w:r>
          </w:p>
        </w:tc>
        <w:tc>
          <w:tcPr>
            <w:tcW w:w="1080" w:type="dxa"/>
          </w:tcPr>
          <w:p w:rsidR="002B3621" w:rsidRPr="002B7FD9" w:rsidRDefault="002B3621" w:rsidP="00090190">
            <w:pPr>
              <w:jc w:val="center"/>
              <w:rPr>
                <w:b/>
              </w:rPr>
            </w:pPr>
            <w:r w:rsidRPr="002B7FD9">
              <w:rPr>
                <w:b/>
              </w:rPr>
              <w:t>20</w:t>
            </w:r>
            <w:r>
              <w:rPr>
                <w:b/>
              </w:rPr>
              <w:t>09</w:t>
            </w:r>
          </w:p>
        </w:tc>
      </w:tr>
      <w:tr w:rsidR="002B3621" w:rsidTr="00090190">
        <w:trPr>
          <w:trHeight w:val="276"/>
        </w:trPr>
        <w:tc>
          <w:tcPr>
            <w:tcW w:w="1932" w:type="dxa"/>
          </w:tcPr>
          <w:p w:rsidR="002B3621" w:rsidRDefault="002B3621" w:rsidP="00090190">
            <w:r>
              <w:t xml:space="preserve">Guaranty </w:t>
            </w:r>
          </w:p>
        </w:tc>
        <w:tc>
          <w:tcPr>
            <w:tcW w:w="1080" w:type="dxa"/>
          </w:tcPr>
          <w:p w:rsidR="002B3621" w:rsidRDefault="00553AE2" w:rsidP="00090190">
            <w:pPr>
              <w:jc w:val="right"/>
            </w:pPr>
            <w:r>
              <w:t>1</w:t>
            </w:r>
          </w:p>
        </w:tc>
        <w:tc>
          <w:tcPr>
            <w:tcW w:w="1080" w:type="dxa"/>
          </w:tcPr>
          <w:p w:rsidR="002B3621" w:rsidRDefault="002B3621" w:rsidP="00090190">
            <w:pPr>
              <w:jc w:val="right"/>
            </w:pPr>
            <w:r>
              <w:t>3</w:t>
            </w:r>
          </w:p>
        </w:tc>
        <w:tc>
          <w:tcPr>
            <w:tcW w:w="990" w:type="dxa"/>
          </w:tcPr>
          <w:p w:rsidR="002B3621" w:rsidRDefault="002B3621" w:rsidP="00090190">
            <w:pPr>
              <w:jc w:val="right"/>
            </w:pPr>
            <w:r>
              <w:t>0</w:t>
            </w:r>
          </w:p>
        </w:tc>
        <w:tc>
          <w:tcPr>
            <w:tcW w:w="1080" w:type="dxa"/>
          </w:tcPr>
          <w:p w:rsidR="002B3621" w:rsidRDefault="002B3621" w:rsidP="00090190">
            <w:pPr>
              <w:jc w:val="right"/>
            </w:pPr>
            <w:r>
              <w:t>4</w:t>
            </w:r>
          </w:p>
        </w:tc>
      </w:tr>
      <w:tr w:rsidR="002B3621" w:rsidTr="00090190">
        <w:trPr>
          <w:trHeight w:val="276"/>
        </w:trPr>
        <w:tc>
          <w:tcPr>
            <w:tcW w:w="1932" w:type="dxa"/>
          </w:tcPr>
          <w:p w:rsidR="002B3621" w:rsidRDefault="002B3621" w:rsidP="00090190">
            <w:r>
              <w:t>Non Guaranty</w:t>
            </w:r>
          </w:p>
        </w:tc>
        <w:tc>
          <w:tcPr>
            <w:tcW w:w="1080" w:type="dxa"/>
          </w:tcPr>
          <w:p w:rsidR="002B3621" w:rsidRDefault="00553AE2" w:rsidP="00090190">
            <w:pPr>
              <w:jc w:val="right"/>
            </w:pPr>
            <w:r>
              <w:t>2</w:t>
            </w:r>
          </w:p>
        </w:tc>
        <w:tc>
          <w:tcPr>
            <w:tcW w:w="1080" w:type="dxa"/>
          </w:tcPr>
          <w:p w:rsidR="002B3621" w:rsidRDefault="002B3621" w:rsidP="00090190">
            <w:pPr>
              <w:jc w:val="right"/>
            </w:pPr>
            <w:r>
              <w:t>0</w:t>
            </w:r>
          </w:p>
        </w:tc>
        <w:tc>
          <w:tcPr>
            <w:tcW w:w="990" w:type="dxa"/>
          </w:tcPr>
          <w:p w:rsidR="002B3621" w:rsidRDefault="002B3621" w:rsidP="00090190">
            <w:pPr>
              <w:jc w:val="right"/>
            </w:pPr>
            <w:r>
              <w:t>0</w:t>
            </w:r>
          </w:p>
        </w:tc>
        <w:tc>
          <w:tcPr>
            <w:tcW w:w="1080" w:type="dxa"/>
          </w:tcPr>
          <w:p w:rsidR="002B3621" w:rsidRDefault="002B3621" w:rsidP="00090190">
            <w:pPr>
              <w:jc w:val="right"/>
            </w:pPr>
            <w:r>
              <w:t>0</w:t>
            </w:r>
          </w:p>
        </w:tc>
      </w:tr>
      <w:tr w:rsidR="002B3621" w:rsidTr="00090190">
        <w:trPr>
          <w:trHeight w:val="276"/>
        </w:trPr>
        <w:tc>
          <w:tcPr>
            <w:tcW w:w="1932" w:type="dxa"/>
          </w:tcPr>
          <w:p w:rsidR="002B3621" w:rsidRDefault="002B3621" w:rsidP="00090190">
            <w:r>
              <w:t>Total</w:t>
            </w:r>
          </w:p>
        </w:tc>
        <w:tc>
          <w:tcPr>
            <w:tcW w:w="1080" w:type="dxa"/>
          </w:tcPr>
          <w:p w:rsidR="002B3621" w:rsidRDefault="00553AE2" w:rsidP="00090190">
            <w:pPr>
              <w:jc w:val="right"/>
            </w:pPr>
            <w:r>
              <w:t>3</w:t>
            </w:r>
          </w:p>
        </w:tc>
        <w:tc>
          <w:tcPr>
            <w:tcW w:w="1080" w:type="dxa"/>
          </w:tcPr>
          <w:p w:rsidR="002B3621" w:rsidRDefault="002B3621" w:rsidP="00090190">
            <w:pPr>
              <w:jc w:val="right"/>
            </w:pPr>
            <w:r>
              <w:t>3</w:t>
            </w:r>
          </w:p>
        </w:tc>
        <w:tc>
          <w:tcPr>
            <w:tcW w:w="990" w:type="dxa"/>
          </w:tcPr>
          <w:p w:rsidR="002B3621" w:rsidRDefault="002B3621" w:rsidP="00090190">
            <w:pPr>
              <w:jc w:val="right"/>
            </w:pPr>
            <w:r>
              <w:t>0</w:t>
            </w:r>
          </w:p>
        </w:tc>
        <w:tc>
          <w:tcPr>
            <w:tcW w:w="1080" w:type="dxa"/>
          </w:tcPr>
          <w:p w:rsidR="002B3621" w:rsidRDefault="002B3621" w:rsidP="00090190">
            <w:pPr>
              <w:jc w:val="right"/>
            </w:pPr>
            <w:r>
              <w:t>4</w:t>
            </w:r>
          </w:p>
        </w:tc>
      </w:tr>
    </w:tbl>
    <w:p w:rsidR="00482FCE" w:rsidRDefault="00482FCE" w:rsidP="002B3621"/>
    <w:p w:rsidR="00482FCE" w:rsidRDefault="00482FCE" w:rsidP="002B3621"/>
    <w:p w:rsidR="002B3621" w:rsidRDefault="00482FCE" w:rsidP="002B3621">
      <w:r>
        <w:t xml:space="preserve">* </w:t>
      </w:r>
      <w:r>
        <w:tab/>
        <w:t>Based on Federal Fiscal Year, October 1 to September 30 – Reported to RSA</w:t>
      </w:r>
    </w:p>
    <w:p w:rsidR="00482FCE" w:rsidRDefault="00482FCE" w:rsidP="002B3621">
      <w:r>
        <w:t>**</w:t>
      </w:r>
      <w:r>
        <w:tab/>
        <w:t>Based on OkAT Fiscal Year, July 1 to June 30 – Reported in Audit</w:t>
      </w:r>
    </w:p>
    <w:p w:rsidR="00CA169C" w:rsidRDefault="00CA169C" w:rsidP="00EF2426"/>
    <w:p w:rsidR="006E0392" w:rsidRDefault="006E0392" w:rsidP="009532F3">
      <w:pPr>
        <w:pStyle w:val="Heading3"/>
      </w:pPr>
      <w:r>
        <w:t>Leverage Funding:</w:t>
      </w:r>
    </w:p>
    <w:p w:rsidR="006E0392" w:rsidRDefault="006E0392" w:rsidP="009532F3">
      <w:pPr>
        <w:pStyle w:val="ListParagraph"/>
        <w:numPr>
          <w:ilvl w:val="1"/>
          <w:numId w:val="9"/>
        </w:numPr>
      </w:pPr>
      <w:r>
        <w:t xml:space="preserve">BancFirst provides non-guaranty loans to qualified borrowers.  This model </w:t>
      </w:r>
      <w:r w:rsidR="00B2700B">
        <w:t xml:space="preserve">eliminates any OkAT risk if a default occurred for non-guaranty loans.  </w:t>
      </w:r>
      <w:r w:rsidR="00553AE2">
        <w:t>Over the last four years, 77</w:t>
      </w:r>
      <w:r w:rsidR="00B2700B" w:rsidRPr="00553AE2">
        <w:t>% of all loans are non-guaranty.</w:t>
      </w:r>
      <w:r w:rsidR="00B2700B">
        <w:t xml:space="preserve">  </w:t>
      </w:r>
      <w:r>
        <w:t xml:space="preserve">In addition, BancFirst provides </w:t>
      </w:r>
      <w:r w:rsidR="005963A6">
        <w:t>in-k</w:t>
      </w:r>
      <w:r>
        <w:t xml:space="preserve">ind resources as part of the contract between the two parties that includes: </w:t>
      </w:r>
    </w:p>
    <w:p w:rsidR="006E0392" w:rsidRDefault="006E0392" w:rsidP="006E0392">
      <w:pPr>
        <w:pStyle w:val="ListParagraph"/>
        <w:numPr>
          <w:ilvl w:val="2"/>
          <w:numId w:val="2"/>
        </w:numPr>
      </w:pPr>
      <w:r>
        <w:t>Assigned trained personnel who accept and process all loan applications</w:t>
      </w:r>
    </w:p>
    <w:p w:rsidR="006E0392" w:rsidRDefault="006E0392" w:rsidP="006E0392">
      <w:pPr>
        <w:pStyle w:val="ListParagraph"/>
        <w:numPr>
          <w:ilvl w:val="2"/>
          <w:numId w:val="2"/>
        </w:numPr>
      </w:pPr>
      <w:r>
        <w:t>Secretarial support to loan officers, ABLE Tech personnel and AFP/ATF customers</w:t>
      </w:r>
    </w:p>
    <w:p w:rsidR="006E0392" w:rsidRDefault="006E0392" w:rsidP="006E0392">
      <w:pPr>
        <w:pStyle w:val="ListParagraph"/>
        <w:numPr>
          <w:ilvl w:val="2"/>
          <w:numId w:val="2"/>
        </w:numPr>
      </w:pPr>
      <w:r>
        <w:lastRenderedPageBreak/>
        <w:t>Monthly loan guaranty and non-guaranty reports</w:t>
      </w:r>
    </w:p>
    <w:p w:rsidR="006E0392" w:rsidRDefault="006E0392" w:rsidP="006E0392">
      <w:pPr>
        <w:pStyle w:val="ListParagraph"/>
        <w:numPr>
          <w:ilvl w:val="2"/>
          <w:numId w:val="2"/>
        </w:numPr>
      </w:pPr>
      <w:r>
        <w:t xml:space="preserve">Assigned Loan officer support to all </w:t>
      </w:r>
      <w:r w:rsidR="004562C2">
        <w:t xml:space="preserve">BancFirst </w:t>
      </w:r>
      <w:r>
        <w:t>branch</w:t>
      </w:r>
      <w:r w:rsidR="004562C2">
        <w:t>es across the state</w:t>
      </w:r>
      <w:r>
        <w:t xml:space="preserve"> </w:t>
      </w:r>
    </w:p>
    <w:p w:rsidR="006E0392" w:rsidRDefault="006E0392" w:rsidP="006E0392">
      <w:pPr>
        <w:pStyle w:val="ListParagraph"/>
        <w:numPr>
          <w:ilvl w:val="2"/>
          <w:numId w:val="2"/>
        </w:numPr>
      </w:pPr>
      <w:r>
        <w:t>Facilities, phone, fax, toll free customer lines, internet and marketing brochures</w:t>
      </w:r>
    </w:p>
    <w:p w:rsidR="006E0392" w:rsidRDefault="006E0392" w:rsidP="006E0392">
      <w:pPr>
        <w:pStyle w:val="ListParagraph"/>
        <w:numPr>
          <w:ilvl w:val="1"/>
          <w:numId w:val="2"/>
        </w:numPr>
      </w:pPr>
      <w:r>
        <w:t xml:space="preserve">ABLE Tech through </w:t>
      </w:r>
      <w:r w:rsidR="005F18D1">
        <w:t xml:space="preserve">a contract </w:t>
      </w:r>
      <w:r>
        <w:t xml:space="preserve">provides all personnel, facilities, and office support to OkAT to facilitate the daily operations.  </w:t>
      </w:r>
      <w:r w:rsidR="00D8151A">
        <w:t xml:space="preserve">As a result of this contract, OkAT does not have any occupancy expenses for rent, phone, internet, etc.  </w:t>
      </w:r>
      <w:r w:rsidR="00A33C39">
        <w:t xml:space="preserve">Personnel </w:t>
      </w:r>
      <w:r w:rsidR="004562C2">
        <w:t xml:space="preserve">coordinate </w:t>
      </w:r>
      <w:r w:rsidR="00A33C39">
        <w:t xml:space="preserve">all Board meetings, teleconference calls, bank reports, interaction with AFP/ATF applicants and borrowers, reports to DRS, RSA and ABLE Tech Consumer Advisory Council members.  This agreement </w:t>
      </w:r>
      <w:r w:rsidR="004562C2">
        <w:t>was initially at</w:t>
      </w:r>
      <w:r w:rsidR="00A33C39">
        <w:t xml:space="preserve"> no cost to OkAT</w:t>
      </w:r>
      <w:r w:rsidR="004562C2">
        <w:t xml:space="preserve">.  </w:t>
      </w:r>
      <w:r w:rsidR="00A33C39">
        <w:t xml:space="preserve">Beginning July 1, 2009 </w:t>
      </w:r>
      <w:r w:rsidR="0058268C">
        <w:t xml:space="preserve">to June 30, 2012 </w:t>
      </w:r>
      <w:r w:rsidR="00A33C39">
        <w:t xml:space="preserve">OkAT </w:t>
      </w:r>
      <w:r w:rsidR="0058268C">
        <w:t xml:space="preserve">paid </w:t>
      </w:r>
      <w:r w:rsidR="00A33C39">
        <w:t>$15,000 year</w:t>
      </w:r>
      <w:r w:rsidR="00482FCE">
        <w:t>ly</w:t>
      </w:r>
      <w:r w:rsidR="00A33C39">
        <w:t xml:space="preserve"> for this expertise.</w:t>
      </w:r>
      <w:r w:rsidR="0058268C">
        <w:t xml:space="preserve">  In July 1, 2012, OkAT will pay $20,000 </w:t>
      </w:r>
      <w:r w:rsidR="005963A6">
        <w:t xml:space="preserve">per year </w:t>
      </w:r>
      <w:r w:rsidR="0058268C">
        <w:t>for the service</w:t>
      </w:r>
      <w:r w:rsidR="004562C2">
        <w:t>s</w:t>
      </w:r>
      <w:r w:rsidR="0058268C">
        <w:t>.</w:t>
      </w:r>
      <w:r w:rsidR="004562C2">
        <w:t xml:space="preserve">  </w:t>
      </w:r>
    </w:p>
    <w:p w:rsidR="00A33C39" w:rsidRDefault="00A33C39" w:rsidP="006E0392">
      <w:pPr>
        <w:pStyle w:val="ListParagraph"/>
        <w:numPr>
          <w:ilvl w:val="1"/>
          <w:numId w:val="2"/>
        </w:numPr>
      </w:pPr>
      <w:r>
        <w:t xml:space="preserve">The Oklahoma Department of Rehabilitation Services has financially supported the AFP/ATF since 2002.  Initially state funds were utilized for state match for each grant year award.  </w:t>
      </w:r>
      <w:r w:rsidR="00D8151A">
        <w:t xml:space="preserve">DRS </w:t>
      </w:r>
      <w:proofErr w:type="gramStart"/>
      <w:r w:rsidR="00D8151A">
        <w:t>continues</w:t>
      </w:r>
      <w:proofErr w:type="gramEnd"/>
      <w:r w:rsidR="00D8151A">
        <w:t xml:space="preserve"> to contract with ABLE Tech to provide </w:t>
      </w:r>
      <w:r>
        <w:t xml:space="preserve">financial support for </w:t>
      </w:r>
      <w:r w:rsidR="00D8151A">
        <w:t xml:space="preserve">a portion of the </w:t>
      </w:r>
      <w:r>
        <w:t>personnel</w:t>
      </w:r>
      <w:r w:rsidR="00D8151A">
        <w:t xml:space="preserve"> expenses </w:t>
      </w:r>
      <w:r>
        <w:t>to operate the AFP/ATF.</w:t>
      </w:r>
    </w:p>
    <w:p w:rsidR="00A33C39" w:rsidRDefault="00A33C39" w:rsidP="006E0392">
      <w:pPr>
        <w:pStyle w:val="ListParagraph"/>
        <w:numPr>
          <w:ilvl w:val="1"/>
          <w:numId w:val="2"/>
        </w:numPr>
      </w:pPr>
      <w:r>
        <w:t>OkAT Board members are volunteers who receive no compensation for their time and expertise.  The structure of the organization relies on all members to review</w:t>
      </w:r>
      <w:r w:rsidR="00482FCE">
        <w:t xml:space="preserve"> and</w:t>
      </w:r>
      <w:r w:rsidR="005963A6">
        <w:t xml:space="preserve"> determine approval or denial of</w:t>
      </w:r>
      <w:r>
        <w:t xml:space="preserve"> each guaranty loan request, policy, financial statements, au</w:t>
      </w:r>
      <w:r w:rsidR="00B72612">
        <w:t>dits, reports, and investments.</w:t>
      </w:r>
    </w:p>
    <w:p w:rsidR="006E0392" w:rsidRDefault="006E0392" w:rsidP="00EF2426"/>
    <w:p w:rsidR="000256D0" w:rsidRDefault="00660C2F" w:rsidP="009532F3">
      <w:pPr>
        <w:pStyle w:val="Heading3"/>
      </w:pPr>
      <w:r>
        <w:t>Summary</w:t>
      </w:r>
      <w:r w:rsidR="000256D0">
        <w:t xml:space="preserve"> - </w:t>
      </w:r>
      <w:r w:rsidR="00B72612">
        <w:t>Barriers and Opportunities</w:t>
      </w:r>
    </w:p>
    <w:p w:rsidR="001B59FE" w:rsidRDefault="000256D0" w:rsidP="001B59FE">
      <w:r>
        <w:t>In July 2010, an OkAT Board member along with ABLE Tech staff discussed with two separate banks the concept of becoming the banking partner for OkAT.  Both banks considered the offer seriously</w:t>
      </w:r>
      <w:r w:rsidR="00660C2F">
        <w:t xml:space="preserve">; </w:t>
      </w:r>
      <w:r>
        <w:t>bank presidents were involved in the discussions and the final decision</w:t>
      </w:r>
      <w:r w:rsidR="00660C2F">
        <w:t xml:space="preserve">.  It was </w:t>
      </w:r>
      <w:r>
        <w:t xml:space="preserve">determined </w:t>
      </w:r>
      <w:r w:rsidR="00660C2F">
        <w:t xml:space="preserve">by both that </w:t>
      </w:r>
      <w:r>
        <w:t>they could not operate as the partner on the terms OkAT currently has with BancFirst.  Therefore, OkAT assumes creating new partnerships with other financial institutions would be very difficult</w:t>
      </w:r>
      <w:r w:rsidR="001B59FE">
        <w:t xml:space="preserve"> under the current terms</w:t>
      </w:r>
      <w:r>
        <w:t xml:space="preserve">.  </w:t>
      </w:r>
      <w:r w:rsidR="001B59FE">
        <w:t>Consequently, in October 2010 the OkAT Board decided to investigate the possibility of becoming the direct lender</w:t>
      </w:r>
      <w:r w:rsidR="00660C2F">
        <w:t xml:space="preserve">.  An </w:t>
      </w:r>
      <w:r w:rsidR="001B59FE">
        <w:t xml:space="preserve">outside accounting </w:t>
      </w:r>
      <w:r w:rsidR="00660C2F">
        <w:t>firm was hired to conduct an</w:t>
      </w:r>
      <w:r w:rsidR="001B59FE">
        <w:t xml:space="preserve"> analysis</w:t>
      </w:r>
      <w:r w:rsidR="00660C2F">
        <w:t xml:space="preserve"> and comparison of the cost of the two models</w:t>
      </w:r>
      <w:r w:rsidR="001B59FE">
        <w:t>.  In July 2011, OkAT was presented with a cost analysis of converting from the current model to implementing direct lending.  Although fiscally feasible, the Board determined to continue to utilize the banking/loaning expertise of BancFirst.  The Board would be willing to review the possibility of changing the partnership model</w:t>
      </w:r>
      <w:r w:rsidR="00FD7213">
        <w:t>,</w:t>
      </w:r>
      <w:r w:rsidR="001B59FE">
        <w:t xml:space="preserve"> in the future</w:t>
      </w:r>
      <w:r w:rsidR="00FD7213">
        <w:t>,</w:t>
      </w:r>
      <w:r w:rsidR="001B59FE">
        <w:t xml:space="preserve"> if </w:t>
      </w:r>
      <w:r w:rsidR="00FD7213">
        <w:t xml:space="preserve">the </w:t>
      </w:r>
      <w:r w:rsidR="001B59FE">
        <w:t>current contract terms with BancFirst created a substantially greater expense.</w:t>
      </w:r>
    </w:p>
    <w:p w:rsidR="001B59FE" w:rsidRDefault="001B59FE" w:rsidP="000256D0"/>
    <w:p w:rsidR="00FD7213" w:rsidRDefault="000256D0" w:rsidP="000256D0">
      <w:r>
        <w:t xml:space="preserve">In 2010, OkAT experienced a significant reduction </w:t>
      </w:r>
      <w:r w:rsidR="00660C2F">
        <w:t>of</w:t>
      </w:r>
      <w:r>
        <w:t xml:space="preserve"> </w:t>
      </w:r>
      <w:r w:rsidR="00660C2F">
        <w:t xml:space="preserve">interest </w:t>
      </w:r>
      <w:r>
        <w:t>income as a result of the national economi</w:t>
      </w:r>
      <w:r w:rsidR="00660C2F">
        <w:t>c downturn.  For the first time</w:t>
      </w:r>
      <w:r>
        <w:t xml:space="preserve"> since the inception of the AFP, OkAT experienced a net loss of assets.  With the </w:t>
      </w:r>
      <w:r w:rsidR="00660C2F">
        <w:t>current</w:t>
      </w:r>
      <w:r>
        <w:t xml:space="preserve"> low interest rates available for investments, OkAT continues to experience an inability to earn </w:t>
      </w:r>
      <w:r w:rsidR="00660C2F">
        <w:t xml:space="preserve">enough </w:t>
      </w:r>
      <w:r>
        <w:t xml:space="preserve">income to offset </w:t>
      </w:r>
      <w:r w:rsidR="00FD7213">
        <w:t xml:space="preserve">all of the operational </w:t>
      </w:r>
      <w:r>
        <w:t>expenses</w:t>
      </w:r>
      <w:r w:rsidR="00FD7213">
        <w:t xml:space="preserve"> plus default losses</w:t>
      </w:r>
      <w:r>
        <w:t>.</w:t>
      </w:r>
      <w:r w:rsidR="00FD7213">
        <w:t xml:space="preserve">  The Board took the assertive action to realign the short term secured investments to optimize interest income growth.  This should reduce the loss by approximately $10,000.  </w:t>
      </w:r>
      <w:r w:rsidR="00660C2F">
        <w:t xml:space="preserve"> </w:t>
      </w:r>
    </w:p>
    <w:p w:rsidR="00FD7213" w:rsidRDefault="00FD7213" w:rsidP="000256D0"/>
    <w:p w:rsidR="00A56D2D" w:rsidRDefault="001B0827" w:rsidP="001B0827">
      <w:r>
        <w:t>Initially, the BancFirst agreement with OkAT was to charge and interest rate of 2% above the prime for all loans.  Within a couple o</w:t>
      </w:r>
      <w:r w:rsidR="007268AB">
        <w:t>f years of utilizing that model</w:t>
      </w:r>
      <w:r>
        <w:t xml:space="preserve">, BancFirst decided they could not continue to operate the program under that margin.  With guidance from the national technical assistance program it was determined that an interest rate buy-down model </w:t>
      </w:r>
      <w:r w:rsidR="007D715F">
        <w:t xml:space="preserve">could be </w:t>
      </w:r>
      <w:r w:rsidR="007D715F">
        <w:lastRenderedPageBreak/>
        <w:t xml:space="preserve">economically feasible for both OkAT and BancFirst.  The interest buy down model was </w:t>
      </w:r>
      <w:r>
        <w:t xml:space="preserve">adopted in </w:t>
      </w:r>
      <w:r w:rsidR="007D715F">
        <w:t xml:space="preserve">October of 2004 to ensure </w:t>
      </w:r>
      <w:r>
        <w:t>Oklahoma</w:t>
      </w:r>
      <w:r w:rsidR="007D715F">
        <w:t>ns would</w:t>
      </w:r>
      <w:r>
        <w:t xml:space="preserve"> </w:t>
      </w:r>
      <w:r w:rsidR="00A56D2D">
        <w:t>continue to have access to an affordable interest rate of 2% over prime.  BancFirst charged OkAT an additional 2% on each loan.  Although the expense of the buy-down is permanent</w:t>
      </w:r>
      <w:r w:rsidR="007268AB">
        <w:t>,</w:t>
      </w:r>
      <w:r w:rsidR="00A56D2D">
        <w:t xml:space="preserve"> until interest rates fell dramatically in 2008, OkAT earned enough income to offset the expense.  BancFirst had to make another </w:t>
      </w:r>
      <w:r w:rsidR="007268AB">
        <w:t xml:space="preserve">adjustment in 2010 to move the interest paid by OkAT from 2% over prime to an interest rate ceiling of 9.5% for non-guaranty loans charging the customer 6% and 7.5% on guaranty loans charging the customer 5%.  </w:t>
      </w:r>
      <w:r w:rsidR="00686E30">
        <w:t xml:space="preserve">OkAT continues to support the mission of providing low interest loans to Oklahomans with disabilities to make assistive technology affordable.  </w:t>
      </w:r>
    </w:p>
    <w:p w:rsidR="00A56D2D" w:rsidRDefault="00A56D2D" w:rsidP="001B0827"/>
    <w:p w:rsidR="00FD7213" w:rsidRDefault="00FD7213" w:rsidP="000256D0">
      <w:r>
        <w:t xml:space="preserve">As part of its overall </w:t>
      </w:r>
      <w:r w:rsidR="00686E30">
        <w:t>strategy</w:t>
      </w:r>
      <w:r>
        <w:t xml:space="preserve">, OkAT seeks additional public and private funds to support the general administrative expenses.  </w:t>
      </w:r>
      <w:r w:rsidR="000256D0">
        <w:t xml:space="preserve">OkAT was awarded a grant from Federal Emergency Management Administration (FEMA) </w:t>
      </w:r>
      <w:r>
        <w:t xml:space="preserve">in June of 2011, </w:t>
      </w:r>
      <w:r w:rsidR="000256D0">
        <w:t>to contract with Fire Protection Publications and ABLE Tech</w:t>
      </w:r>
      <w:r>
        <w:t>.  The purpose of the program was</w:t>
      </w:r>
      <w:r w:rsidR="000256D0">
        <w:t xml:space="preserve"> to distribute specialized smoke alarms and provide educational materials on the benefits of retrofitting home fire sprinklers systems for people with severe disabilities.  The bud</w:t>
      </w:r>
      <w:r w:rsidR="00660C2F">
        <w:t>get</w:t>
      </w:r>
      <w:r w:rsidR="000256D0">
        <w:t xml:space="preserve">ed indirect funds </w:t>
      </w:r>
      <w:r w:rsidR="00FE446D">
        <w:t xml:space="preserve">from FEMA </w:t>
      </w:r>
      <w:r w:rsidR="000256D0">
        <w:t>assisted with</w:t>
      </w:r>
      <w:r w:rsidR="00FE446D">
        <w:t xml:space="preserve"> the general management expenses of the corporation</w:t>
      </w:r>
      <w:r>
        <w:t xml:space="preserve"> which reduced the total loss for the year.  OkAT submitted another grant proposal to FEMA for the next fiscal year.  </w:t>
      </w:r>
      <w:r w:rsidR="00A56D2D" w:rsidRPr="00A56D2D">
        <w:rPr>
          <w:highlight w:val="yellow"/>
        </w:rPr>
        <w:t>[Insert outcome of grant proposal.]</w:t>
      </w:r>
    </w:p>
    <w:p w:rsidR="008A710F" w:rsidRDefault="008A710F" w:rsidP="000256D0"/>
    <w:p w:rsidR="002E70BF" w:rsidRDefault="00545296" w:rsidP="000256D0">
      <w:r>
        <w:t>OkAT continues to operate a quality program with very low administrative cost and no facility expense</w:t>
      </w:r>
      <w:r w:rsidR="00686E30">
        <w:t>s</w:t>
      </w:r>
      <w:r>
        <w:t xml:space="preserve"> through effective partnership</w:t>
      </w:r>
      <w:r w:rsidR="008A710F">
        <w:t xml:space="preserve"> with BancFirst of Stillwater and ABLE Tech.  The Board</w:t>
      </w:r>
      <w:r w:rsidR="00B7547A">
        <w:t>,</w:t>
      </w:r>
      <w:r w:rsidR="008A710F">
        <w:t xml:space="preserve"> along with ABLE Tech staff</w:t>
      </w:r>
      <w:r w:rsidR="00B7547A">
        <w:t>,</w:t>
      </w:r>
      <w:r w:rsidR="008A710F">
        <w:t xml:space="preserve"> continues to evaluate investment opportunities to maximize income, </w:t>
      </w:r>
      <w:r w:rsidR="00B7547A">
        <w:t>explore opportunities of</w:t>
      </w:r>
      <w:r w:rsidR="008A710F">
        <w:t xml:space="preserve"> various state financing loan models, creating new partners</w:t>
      </w:r>
      <w:r w:rsidR="00B7547A">
        <w:t>hips</w:t>
      </w:r>
      <w:r w:rsidR="008A710F">
        <w:t xml:space="preserve"> such as Fire Protection Publications</w:t>
      </w:r>
      <w:r w:rsidR="00B7547A">
        <w:t>,</w:t>
      </w:r>
      <w:r w:rsidR="008A710F">
        <w:t xml:space="preserve"> seeking grants and other new revenue sources.  The volunteer Board of Directors diligently works toward operating a fiscally prudent program while remaining dedicated to providing affordable alternative financing of assistive technology </w:t>
      </w:r>
      <w:r w:rsidR="009532F3">
        <w:t xml:space="preserve">and telework equipment </w:t>
      </w:r>
      <w:r w:rsidR="008A710F">
        <w:t xml:space="preserve">for Oklahomans with disabilities.  </w:t>
      </w:r>
    </w:p>
    <w:sectPr w:rsidR="002E70BF" w:rsidSect="00F50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52D"/>
    <w:multiLevelType w:val="multilevel"/>
    <w:tmpl w:val="0409001D"/>
    <w:styleLink w:val="Style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F6C29A4"/>
    <w:multiLevelType w:val="multilevel"/>
    <w:tmpl w:val="75FCC7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9A3C10"/>
    <w:multiLevelType w:val="hybridMultilevel"/>
    <w:tmpl w:val="0860C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302D1"/>
    <w:multiLevelType w:val="multilevel"/>
    <w:tmpl w:val="E0EC6B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F706FE1"/>
    <w:multiLevelType w:val="multilevel"/>
    <w:tmpl w:val="0409001D"/>
    <w:numStyleLink w:val="Style1"/>
  </w:abstractNum>
  <w:abstractNum w:abstractNumId="5">
    <w:nsid w:val="46641E03"/>
    <w:multiLevelType w:val="hybridMultilevel"/>
    <w:tmpl w:val="A224DF04"/>
    <w:lvl w:ilvl="0" w:tplc="0D9674A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16057B"/>
    <w:multiLevelType w:val="multilevel"/>
    <w:tmpl w:val="0409001D"/>
    <w:numStyleLink w:val="Style1"/>
  </w:abstractNum>
  <w:abstractNum w:abstractNumId="7">
    <w:nsid w:val="5AC62429"/>
    <w:multiLevelType w:val="hybridMultilevel"/>
    <w:tmpl w:val="F3C0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00D78"/>
    <w:multiLevelType w:val="multilevel"/>
    <w:tmpl w:val="0409001D"/>
    <w:numStyleLink w:val="Style1"/>
  </w:abstractNum>
  <w:num w:numId="1">
    <w:abstractNumId w:val="5"/>
  </w:num>
  <w:num w:numId="2">
    <w:abstractNumId w:val="8"/>
  </w:num>
  <w:num w:numId="3">
    <w:abstractNumId w:val="2"/>
  </w:num>
  <w:num w:numId="4">
    <w:abstractNumId w:val="7"/>
  </w:num>
  <w:num w:numId="5">
    <w:abstractNumId w:val="3"/>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150F80"/>
    <w:rsid w:val="0002498A"/>
    <w:rsid w:val="000256D0"/>
    <w:rsid w:val="000745C3"/>
    <w:rsid w:val="00090190"/>
    <w:rsid w:val="00090BC9"/>
    <w:rsid w:val="000B0621"/>
    <w:rsid w:val="00132B83"/>
    <w:rsid w:val="0014712F"/>
    <w:rsid w:val="00150F80"/>
    <w:rsid w:val="00181DD6"/>
    <w:rsid w:val="0019257A"/>
    <w:rsid w:val="001B0827"/>
    <w:rsid w:val="001B59FE"/>
    <w:rsid w:val="001B71A7"/>
    <w:rsid w:val="002809D6"/>
    <w:rsid w:val="002B3621"/>
    <w:rsid w:val="002B7FD9"/>
    <w:rsid w:val="002E70BF"/>
    <w:rsid w:val="00361511"/>
    <w:rsid w:val="00400836"/>
    <w:rsid w:val="004031AA"/>
    <w:rsid w:val="00450A04"/>
    <w:rsid w:val="004562C2"/>
    <w:rsid w:val="00482FCE"/>
    <w:rsid w:val="004F5460"/>
    <w:rsid w:val="00545296"/>
    <w:rsid w:val="00553AE2"/>
    <w:rsid w:val="00560DCB"/>
    <w:rsid w:val="0058268C"/>
    <w:rsid w:val="005841FE"/>
    <w:rsid w:val="005963A6"/>
    <w:rsid w:val="005967E2"/>
    <w:rsid w:val="005F18D1"/>
    <w:rsid w:val="00610310"/>
    <w:rsid w:val="00660C2F"/>
    <w:rsid w:val="0068693D"/>
    <w:rsid w:val="00686E30"/>
    <w:rsid w:val="006E0392"/>
    <w:rsid w:val="0070289C"/>
    <w:rsid w:val="007268AB"/>
    <w:rsid w:val="007268AD"/>
    <w:rsid w:val="00727FBD"/>
    <w:rsid w:val="00731284"/>
    <w:rsid w:val="0075059F"/>
    <w:rsid w:val="00764E04"/>
    <w:rsid w:val="007D715F"/>
    <w:rsid w:val="007F62DE"/>
    <w:rsid w:val="008A710F"/>
    <w:rsid w:val="0092073C"/>
    <w:rsid w:val="009532F3"/>
    <w:rsid w:val="009B3CB9"/>
    <w:rsid w:val="009F48F4"/>
    <w:rsid w:val="00A264FC"/>
    <w:rsid w:val="00A33C39"/>
    <w:rsid w:val="00A56D2D"/>
    <w:rsid w:val="00A9078B"/>
    <w:rsid w:val="00AF0FD0"/>
    <w:rsid w:val="00AF1F06"/>
    <w:rsid w:val="00B07E41"/>
    <w:rsid w:val="00B2700B"/>
    <w:rsid w:val="00B3521C"/>
    <w:rsid w:val="00B422D5"/>
    <w:rsid w:val="00B67A8B"/>
    <w:rsid w:val="00B72612"/>
    <w:rsid w:val="00B7547A"/>
    <w:rsid w:val="00B90FB2"/>
    <w:rsid w:val="00B93CA8"/>
    <w:rsid w:val="00C11996"/>
    <w:rsid w:val="00C8546E"/>
    <w:rsid w:val="00CA169C"/>
    <w:rsid w:val="00CA6EB1"/>
    <w:rsid w:val="00CC4B08"/>
    <w:rsid w:val="00CE3F11"/>
    <w:rsid w:val="00D8151A"/>
    <w:rsid w:val="00E1725E"/>
    <w:rsid w:val="00EE1206"/>
    <w:rsid w:val="00EF2426"/>
    <w:rsid w:val="00F07FC2"/>
    <w:rsid w:val="00F16D53"/>
    <w:rsid w:val="00F50B52"/>
    <w:rsid w:val="00F60322"/>
    <w:rsid w:val="00F747F6"/>
    <w:rsid w:val="00F804BD"/>
    <w:rsid w:val="00FD7213"/>
    <w:rsid w:val="00FE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C2"/>
    <w:pPr>
      <w:spacing w:after="0" w:line="240" w:lineRule="auto"/>
    </w:pPr>
    <w:rPr>
      <w:rFonts w:eastAsia="Times New Roman"/>
    </w:rPr>
  </w:style>
  <w:style w:type="paragraph" w:styleId="Heading2">
    <w:name w:val="heading 2"/>
    <w:basedOn w:val="Normal"/>
    <w:next w:val="Normal"/>
    <w:link w:val="Heading2Char"/>
    <w:uiPriority w:val="9"/>
    <w:unhideWhenUsed/>
    <w:qFormat/>
    <w:rsid w:val="009532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32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206"/>
    <w:pPr>
      <w:ind w:left="720"/>
      <w:contextualSpacing/>
    </w:pPr>
  </w:style>
  <w:style w:type="table" w:styleId="TableGrid">
    <w:name w:val="Table Grid"/>
    <w:basedOn w:val="TableNormal"/>
    <w:uiPriority w:val="59"/>
    <w:rsid w:val="002B7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CC4B0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CC4B0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F804BD"/>
    <w:rPr>
      <w:sz w:val="16"/>
      <w:szCs w:val="16"/>
    </w:rPr>
  </w:style>
  <w:style w:type="paragraph" w:styleId="CommentText">
    <w:name w:val="annotation text"/>
    <w:basedOn w:val="Normal"/>
    <w:link w:val="CommentTextChar"/>
    <w:uiPriority w:val="99"/>
    <w:semiHidden/>
    <w:unhideWhenUsed/>
    <w:rsid w:val="00F804BD"/>
    <w:rPr>
      <w:sz w:val="20"/>
      <w:szCs w:val="20"/>
    </w:rPr>
  </w:style>
  <w:style w:type="character" w:customStyle="1" w:styleId="CommentTextChar">
    <w:name w:val="Comment Text Char"/>
    <w:basedOn w:val="DefaultParagraphFont"/>
    <w:link w:val="CommentText"/>
    <w:uiPriority w:val="99"/>
    <w:semiHidden/>
    <w:rsid w:val="00F804B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804BD"/>
    <w:rPr>
      <w:b/>
      <w:bCs/>
    </w:rPr>
  </w:style>
  <w:style w:type="character" w:customStyle="1" w:styleId="CommentSubjectChar">
    <w:name w:val="Comment Subject Char"/>
    <w:basedOn w:val="CommentTextChar"/>
    <w:link w:val="CommentSubject"/>
    <w:uiPriority w:val="99"/>
    <w:semiHidden/>
    <w:rsid w:val="00F804BD"/>
    <w:rPr>
      <w:rFonts w:eastAsia="Times New Roman"/>
      <w:b/>
      <w:bCs/>
      <w:sz w:val="20"/>
      <w:szCs w:val="20"/>
    </w:rPr>
  </w:style>
  <w:style w:type="paragraph" w:styleId="BalloonText">
    <w:name w:val="Balloon Text"/>
    <w:basedOn w:val="Normal"/>
    <w:link w:val="BalloonTextChar"/>
    <w:uiPriority w:val="99"/>
    <w:semiHidden/>
    <w:unhideWhenUsed/>
    <w:rsid w:val="00F804BD"/>
    <w:rPr>
      <w:rFonts w:ascii="Tahoma" w:hAnsi="Tahoma" w:cs="Tahoma"/>
      <w:sz w:val="16"/>
      <w:szCs w:val="16"/>
    </w:rPr>
  </w:style>
  <w:style w:type="character" w:customStyle="1" w:styleId="BalloonTextChar">
    <w:name w:val="Balloon Text Char"/>
    <w:basedOn w:val="DefaultParagraphFont"/>
    <w:link w:val="BalloonText"/>
    <w:uiPriority w:val="99"/>
    <w:semiHidden/>
    <w:rsid w:val="00F804BD"/>
    <w:rPr>
      <w:rFonts w:ascii="Tahoma" w:eastAsia="Times New Roman" w:hAnsi="Tahoma" w:cs="Tahoma"/>
      <w:sz w:val="16"/>
      <w:szCs w:val="16"/>
    </w:rPr>
  </w:style>
  <w:style w:type="character" w:customStyle="1" w:styleId="Heading2Char">
    <w:name w:val="Heading 2 Char"/>
    <w:basedOn w:val="DefaultParagraphFont"/>
    <w:link w:val="Heading2"/>
    <w:uiPriority w:val="9"/>
    <w:rsid w:val="009532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32F3"/>
    <w:rPr>
      <w:rFonts w:asciiTheme="majorHAnsi" w:eastAsiaTheme="majorEastAsia" w:hAnsiTheme="majorHAnsi" w:cstheme="majorBidi"/>
      <w:b/>
      <w:bCs/>
      <w:color w:val="4F81BD" w:themeColor="accent1"/>
    </w:rPr>
  </w:style>
  <w:style w:type="numbering" w:customStyle="1" w:styleId="Style1">
    <w:name w:val="Style1"/>
    <w:uiPriority w:val="99"/>
    <w:rsid w:val="009532F3"/>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87007-0B29-4B30-9F28-0001F824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5</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Gofourth, Milissa</dc:creator>
  <cp:keywords/>
  <dc:description/>
  <cp:lastModifiedBy>Gofourth, Milissa</cp:lastModifiedBy>
  <cp:revision>19</cp:revision>
  <cp:lastPrinted>2012-09-14T18:54:00Z</cp:lastPrinted>
  <dcterms:created xsi:type="dcterms:W3CDTF">2009-07-09T19:41:00Z</dcterms:created>
  <dcterms:modified xsi:type="dcterms:W3CDTF">2012-09-14T19:09:00Z</dcterms:modified>
</cp:coreProperties>
</file>